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7B" w:rsidRDefault="008248B3" w:rsidP="00BD1E7B">
      <w:pPr>
        <w:jc w:val="center"/>
      </w:pPr>
      <w:r>
        <w:t>Academic</w:t>
      </w:r>
      <w:r w:rsidR="00BD1E7B">
        <w:t xml:space="preserve"> Program Plan for Assessment of Student Learning Outcomes</w:t>
      </w:r>
    </w:p>
    <w:p w:rsidR="001755A4" w:rsidRDefault="001755A4" w:rsidP="00BD1E7B">
      <w:pPr>
        <w:jc w:val="center"/>
      </w:pPr>
      <w:r>
        <w:t>Construction Management Program</w:t>
      </w:r>
      <w:bookmarkStart w:id="0" w:name="_GoBack"/>
      <w:bookmarkEnd w:id="0"/>
    </w:p>
    <w:p w:rsidR="00BD1E7B" w:rsidRDefault="00BD1E7B" w:rsidP="00BD1E7B">
      <w:pPr>
        <w:jc w:val="center"/>
      </w:pPr>
      <w:r>
        <w:t>The University of New Mexico</w:t>
      </w:r>
    </w:p>
    <w:p w:rsidR="00BD1E7B" w:rsidRDefault="00B40AB7" w:rsidP="00BD1E7B">
      <w:pPr>
        <w:jc w:val="center"/>
      </w:pPr>
      <w:r>
        <w:rPr>
          <w:noProof/>
        </w:rPr>
        <mc:AlternateContent>
          <mc:Choice Requires="wps">
            <w:drawing>
              <wp:anchor distT="0" distB="0" distL="114300" distR="114300" simplePos="0" relativeHeight="251657216" behindDoc="0" locked="0" layoutInCell="1" allowOverlap="1" wp14:anchorId="695004C1" wp14:editId="3DD33DD9">
                <wp:simplePos x="0" y="0"/>
                <wp:positionH relativeFrom="column">
                  <wp:posOffset>0</wp:posOffset>
                </wp:positionH>
                <wp:positionV relativeFrom="paragraph">
                  <wp:posOffset>114300</wp:posOffset>
                </wp:positionV>
                <wp:extent cx="5486400" cy="0"/>
                <wp:effectExtent l="76200" t="76200" r="7620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Ew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3+WyapyAaHXwJKYZEY53/ynWHglFiCZwjMDlunA9ESDGEhHuUXgsp&#10;o9hSoR7Y3s0fADv4nJaCBXfc2P2ukhYdCQzMfBq+WNebMKsPikW4lhO2utqeCHmx4XqpAh4UA4Su&#10;1mUifs/T+Wq2muWjfDJdjfK0rkdf1lU+mq6zh/v6rq6qOvsTqGV50QrGuArshunM8vepf30nl7m6&#10;zeetEclr9NgxIDv8I+moZhDwMgo7zc5bO6gMAxmDr48nTPzLPdgvn/jyL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H9g6kIT&#10;AgAAKgQAAA4AAAAAAAAAAAAAAAAALgIAAGRycy9lMm9Eb2MueG1sUEsBAi0AFAAGAAgAAAAhAKDN&#10;jhXaAAAABgEAAA8AAAAAAAAAAAAAAAAAbQQAAGRycy9kb3ducmV2LnhtbFBLBQYAAAAABAAEAPMA&#10;AAB0BQAAAAA=&#10;" strokecolor="#969696" strokeweight="11pt"/>
            </w:pict>
          </mc:Fallback>
        </mc:AlternateContent>
      </w:r>
      <w:r>
        <w:rPr>
          <w:noProof/>
        </w:rPr>
        <mc:AlternateContent>
          <mc:Choice Requires="wpc">
            <w:drawing>
              <wp:inline distT="0" distB="0" distL="0" distR="0" wp14:anchorId="6BF89096" wp14:editId="39CFB3C4">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rsidR="005A0853" w:rsidRDefault="005A0853" w:rsidP="00BF000D"/>
    <w:p w:rsidR="005A0853" w:rsidRPr="00163076" w:rsidRDefault="00163076" w:rsidP="00163076">
      <w:pPr>
        <w:tabs>
          <w:tab w:val="left" w:pos="360"/>
        </w:tabs>
        <w:rPr>
          <w:b/>
        </w:rPr>
      </w:pPr>
      <w:r w:rsidRPr="00163076">
        <w:rPr>
          <w:b/>
        </w:rPr>
        <w:t>A.</w:t>
      </w:r>
      <w:r w:rsidRPr="00163076">
        <w:rPr>
          <w:b/>
        </w:rPr>
        <w:tab/>
      </w:r>
      <w:r w:rsidR="005A0853" w:rsidRPr="00163076">
        <w:rPr>
          <w:b/>
          <w:u w:val="single"/>
        </w:rPr>
        <w:t>College, Department and Date</w:t>
      </w:r>
    </w:p>
    <w:p w:rsidR="00163076" w:rsidRDefault="00163076" w:rsidP="00163076">
      <w:pPr>
        <w:ind w:left="360"/>
      </w:pPr>
    </w:p>
    <w:p w:rsidR="00163076" w:rsidRDefault="00163076" w:rsidP="00163076">
      <w:pPr>
        <w:ind w:left="360"/>
        <w:rPr>
          <w:i/>
        </w:rPr>
      </w:pPr>
      <w:r>
        <w:t>1. College:</w:t>
      </w:r>
      <w:r>
        <w:tab/>
      </w:r>
      <w:r>
        <w:tab/>
      </w:r>
      <w:r w:rsidR="00750FAD">
        <w:rPr>
          <w:i/>
        </w:rPr>
        <w:t>School of Engineering</w:t>
      </w:r>
    </w:p>
    <w:p w:rsidR="00163076" w:rsidRPr="009429D4" w:rsidRDefault="009429D4" w:rsidP="00163076">
      <w:pPr>
        <w:ind w:left="360"/>
        <w:rPr>
          <w:i/>
        </w:rPr>
      </w:pPr>
      <w:r>
        <w:t xml:space="preserve">2. Department: </w:t>
      </w:r>
      <w:r>
        <w:tab/>
      </w:r>
      <w:r w:rsidR="00750FAD">
        <w:rPr>
          <w:i/>
        </w:rPr>
        <w:t>Civil Engineering – Construction Management</w:t>
      </w:r>
    </w:p>
    <w:p w:rsidR="009429D4" w:rsidRDefault="009429D4" w:rsidP="00163076">
      <w:pPr>
        <w:ind w:left="360"/>
        <w:rPr>
          <w:i/>
        </w:rPr>
      </w:pPr>
      <w:r>
        <w:t xml:space="preserve">3. Date: </w:t>
      </w:r>
      <w:r>
        <w:tab/>
      </w:r>
      <w:r>
        <w:tab/>
      </w:r>
      <w:r w:rsidR="00750FAD">
        <w:rPr>
          <w:i/>
        </w:rPr>
        <w:t>30 September 2014</w:t>
      </w:r>
    </w:p>
    <w:p w:rsidR="009429D4" w:rsidRDefault="009429D4" w:rsidP="00163076">
      <w:pPr>
        <w:ind w:left="360"/>
      </w:pPr>
    </w:p>
    <w:p w:rsidR="003F0E03" w:rsidRPr="00B41A84" w:rsidRDefault="009429D4" w:rsidP="00B41A84">
      <w:pPr>
        <w:tabs>
          <w:tab w:val="left" w:pos="360"/>
        </w:tabs>
        <w:rPr>
          <w:b/>
        </w:rPr>
      </w:pPr>
      <w:r w:rsidRPr="00B41A84">
        <w:rPr>
          <w:b/>
        </w:rPr>
        <w:t>B.</w:t>
      </w:r>
      <w:r w:rsidRPr="00B41A84">
        <w:rPr>
          <w:b/>
        </w:rPr>
        <w:tab/>
      </w:r>
      <w:r w:rsidR="008248B3" w:rsidRPr="005A1DEF">
        <w:rPr>
          <w:b/>
          <w:u w:val="single"/>
        </w:rPr>
        <w:t>Academic Program of Study</w:t>
      </w:r>
      <w:r w:rsidR="009F7F6A" w:rsidRPr="00B41A84">
        <w:rPr>
          <w:b/>
        </w:rPr>
        <w:footnoteReference w:customMarkFollows="1" w:id="1"/>
        <w:t>*</w:t>
      </w:r>
    </w:p>
    <w:p w:rsidR="008248B3" w:rsidRPr="00B41A84" w:rsidRDefault="00750FAD" w:rsidP="00B41A84">
      <w:pPr>
        <w:ind w:left="360"/>
        <w:rPr>
          <w:i/>
        </w:rPr>
      </w:pPr>
      <w:r>
        <w:rPr>
          <w:i/>
        </w:rPr>
        <w:t>B.S. Construction Management</w:t>
      </w:r>
    </w:p>
    <w:p w:rsidR="003F0E03" w:rsidRDefault="003F0E03" w:rsidP="009429D4"/>
    <w:p w:rsidR="009429D4" w:rsidRPr="00B41A84" w:rsidRDefault="003F0E03" w:rsidP="00B41A84">
      <w:pPr>
        <w:tabs>
          <w:tab w:val="left" w:pos="360"/>
        </w:tabs>
        <w:rPr>
          <w:b/>
        </w:rPr>
      </w:pPr>
      <w:r w:rsidRPr="00B41A84">
        <w:rPr>
          <w:b/>
        </w:rPr>
        <w:t>C.</w:t>
      </w:r>
      <w:r w:rsidRPr="00B41A84">
        <w:rPr>
          <w:b/>
        </w:rPr>
        <w:tab/>
      </w:r>
      <w:r w:rsidR="00890AB1" w:rsidRPr="005A1DEF">
        <w:rPr>
          <w:b/>
          <w:u w:val="single"/>
        </w:rPr>
        <w:t>Contact Person(s) for the Assessment Plan</w:t>
      </w:r>
    </w:p>
    <w:p w:rsidR="00890AB1" w:rsidRPr="00B41A84" w:rsidRDefault="00750FAD" w:rsidP="00B41A84">
      <w:pPr>
        <w:ind w:left="360"/>
        <w:rPr>
          <w:i/>
        </w:rPr>
      </w:pPr>
      <w:r>
        <w:rPr>
          <w:i/>
        </w:rPr>
        <w:t>Mark Russell, Undergraduate Coordinator, russ1307@unm.edu</w:t>
      </w:r>
    </w:p>
    <w:p w:rsidR="003F0E03" w:rsidRDefault="003F0E03" w:rsidP="00BC491E"/>
    <w:p w:rsidR="000F6786" w:rsidRPr="000F6786" w:rsidRDefault="00BC491E" w:rsidP="00316CE2">
      <w:pPr>
        <w:tabs>
          <w:tab w:val="left" w:pos="360"/>
        </w:tabs>
        <w:rPr>
          <w:b/>
          <w:u w:val="single"/>
        </w:rPr>
      </w:pPr>
      <w:r w:rsidRPr="00316CE2">
        <w:rPr>
          <w:b/>
        </w:rPr>
        <w:t>D.</w:t>
      </w:r>
      <w:r w:rsidRPr="00316CE2">
        <w:rPr>
          <w:b/>
        </w:rPr>
        <w:tab/>
      </w:r>
      <w:r w:rsidR="00640C56" w:rsidRPr="00640C56">
        <w:rPr>
          <w:b/>
          <w:u w:val="single"/>
        </w:rPr>
        <w:t xml:space="preserve">Broad </w:t>
      </w:r>
      <w:r w:rsidR="000F6786">
        <w:rPr>
          <w:b/>
          <w:u w:val="single"/>
        </w:rPr>
        <w:t>Program Goals &amp; Measurable Student Learning Outcomes</w:t>
      </w:r>
    </w:p>
    <w:p w:rsidR="00640C56" w:rsidRDefault="00666CBE" w:rsidP="00640C56">
      <w:pPr>
        <w:pStyle w:val="Heading1"/>
        <w:ind w:left="360"/>
        <w:jc w:val="left"/>
      </w:pPr>
      <w:r>
        <w:t>1.</w:t>
      </w:r>
      <w:r>
        <w:tab/>
      </w:r>
      <w:r w:rsidR="00640C56">
        <w:t>Broad Program Learning Goals for this Degree/Certificate Program</w:t>
      </w:r>
    </w:p>
    <w:p w:rsidR="00750FAD" w:rsidRDefault="00750FAD" w:rsidP="00750FAD">
      <w:pPr>
        <w:pStyle w:val="ListParagraph"/>
        <w:numPr>
          <w:ilvl w:val="1"/>
          <w:numId w:val="4"/>
        </w:numPr>
      </w:pPr>
      <w:r>
        <w:t xml:space="preserve">Technical Competence - Apply methods to successfully and safely manage construction projects. </w:t>
      </w:r>
    </w:p>
    <w:p w:rsidR="00750FAD" w:rsidRDefault="00750FAD" w:rsidP="00750FAD">
      <w:pPr>
        <w:pStyle w:val="ListParagraph"/>
        <w:numPr>
          <w:ilvl w:val="2"/>
          <w:numId w:val="4"/>
        </w:numPr>
        <w:ind w:left="2160"/>
      </w:pPr>
      <w:r>
        <w:t>Reading and understanding construction documents.</w:t>
      </w:r>
    </w:p>
    <w:p w:rsidR="00750FAD" w:rsidRDefault="00750FAD" w:rsidP="00750FAD">
      <w:pPr>
        <w:pStyle w:val="ListParagraph"/>
        <w:numPr>
          <w:ilvl w:val="2"/>
          <w:numId w:val="4"/>
        </w:numPr>
        <w:ind w:left="2160"/>
      </w:pPr>
      <w:r>
        <w:t>Using construction documents to develop construction estimates &amp; schedule</w:t>
      </w:r>
    </w:p>
    <w:p w:rsidR="00750FAD" w:rsidRDefault="00750FAD" w:rsidP="00750FAD">
      <w:pPr>
        <w:pStyle w:val="ListParagraph"/>
        <w:numPr>
          <w:ilvl w:val="2"/>
          <w:numId w:val="4"/>
        </w:numPr>
        <w:ind w:left="2160"/>
      </w:pPr>
      <w:r>
        <w:t>Using schedule, estimates and construction documents to safely control projects</w:t>
      </w:r>
    </w:p>
    <w:p w:rsidR="00750FAD" w:rsidRDefault="00750FAD" w:rsidP="00750FAD">
      <w:pPr>
        <w:pStyle w:val="ListParagraph"/>
        <w:numPr>
          <w:ilvl w:val="1"/>
          <w:numId w:val="4"/>
        </w:numPr>
      </w:pPr>
      <w:r>
        <w:t>Leadership - Demonstrate the ability to lead through motivating others and applying appropriate technical skills to solve construction management problems.</w:t>
      </w:r>
    </w:p>
    <w:p w:rsidR="00750FAD" w:rsidRDefault="00750FAD" w:rsidP="00750FAD">
      <w:pPr>
        <w:pStyle w:val="ListParagraph"/>
        <w:numPr>
          <w:ilvl w:val="2"/>
          <w:numId w:val="4"/>
        </w:numPr>
        <w:ind w:left="2160"/>
      </w:pPr>
      <w:r>
        <w:t>Breath of technical skills to communicate across boundaries</w:t>
      </w:r>
    </w:p>
    <w:p w:rsidR="00750FAD" w:rsidRDefault="00750FAD" w:rsidP="00750FAD">
      <w:pPr>
        <w:pStyle w:val="ListParagraph"/>
        <w:numPr>
          <w:ilvl w:val="2"/>
          <w:numId w:val="4"/>
        </w:numPr>
        <w:ind w:left="2160"/>
      </w:pPr>
      <w:r>
        <w:t>Team working</w:t>
      </w:r>
    </w:p>
    <w:p w:rsidR="00750FAD" w:rsidRDefault="00750FAD" w:rsidP="00750FAD">
      <w:pPr>
        <w:pStyle w:val="ListParagraph"/>
        <w:numPr>
          <w:ilvl w:val="2"/>
          <w:numId w:val="4"/>
        </w:numPr>
        <w:ind w:left="2160"/>
      </w:pPr>
      <w:r>
        <w:t>Develop action plans to work with project constraints</w:t>
      </w:r>
    </w:p>
    <w:p w:rsidR="00750FAD" w:rsidRDefault="00750FAD" w:rsidP="00750FAD">
      <w:pPr>
        <w:pStyle w:val="ListParagraph"/>
        <w:numPr>
          <w:ilvl w:val="1"/>
          <w:numId w:val="4"/>
        </w:numPr>
      </w:pPr>
      <w:r>
        <w:t xml:space="preserve">Innovation - Develop skills in critical thinking and innovation, recognizing the need for continuously learning new skills and competencies. </w:t>
      </w:r>
    </w:p>
    <w:p w:rsidR="00750FAD" w:rsidRDefault="00750FAD" w:rsidP="00750FAD">
      <w:pPr>
        <w:pStyle w:val="ListParagraph"/>
        <w:numPr>
          <w:ilvl w:val="2"/>
          <w:numId w:val="4"/>
        </w:numPr>
        <w:ind w:left="2160"/>
      </w:pPr>
      <w:r>
        <w:t>Utilize online or library resources</w:t>
      </w:r>
    </w:p>
    <w:p w:rsidR="00750FAD" w:rsidRDefault="00750FAD" w:rsidP="00750FAD">
      <w:pPr>
        <w:pStyle w:val="ListParagraph"/>
        <w:numPr>
          <w:ilvl w:val="2"/>
          <w:numId w:val="4"/>
        </w:numPr>
        <w:ind w:left="2160"/>
      </w:pPr>
      <w:r>
        <w:t>Critically assess current technical documents</w:t>
      </w:r>
    </w:p>
    <w:p w:rsidR="00750FAD" w:rsidRDefault="00750FAD" w:rsidP="00750FAD">
      <w:pPr>
        <w:pStyle w:val="ListParagraph"/>
        <w:numPr>
          <w:ilvl w:val="2"/>
          <w:numId w:val="4"/>
        </w:numPr>
        <w:ind w:left="2160"/>
      </w:pPr>
      <w:r>
        <w:t>Develop ability to apply technology to solve construction problems</w:t>
      </w:r>
    </w:p>
    <w:p w:rsidR="00750FAD" w:rsidRDefault="00750FAD" w:rsidP="00750FAD">
      <w:pPr>
        <w:pStyle w:val="ListParagraph"/>
        <w:numPr>
          <w:ilvl w:val="1"/>
          <w:numId w:val="4"/>
        </w:numPr>
      </w:pPr>
      <w:r>
        <w:t>Communication - Employ effective communication skills to deal respectfully and ethically with all people.</w:t>
      </w:r>
    </w:p>
    <w:p w:rsidR="00750FAD" w:rsidRDefault="00750FAD" w:rsidP="00750FAD">
      <w:pPr>
        <w:pStyle w:val="ListParagraph"/>
        <w:numPr>
          <w:ilvl w:val="2"/>
          <w:numId w:val="4"/>
        </w:numPr>
        <w:ind w:left="2160"/>
      </w:pPr>
      <w:r>
        <w:t>Effective at Oral Communications</w:t>
      </w:r>
    </w:p>
    <w:p w:rsidR="00750FAD" w:rsidRDefault="00750FAD" w:rsidP="00750FAD">
      <w:pPr>
        <w:pStyle w:val="ListParagraph"/>
        <w:numPr>
          <w:ilvl w:val="2"/>
          <w:numId w:val="4"/>
        </w:numPr>
        <w:ind w:left="2160"/>
      </w:pPr>
      <w:r>
        <w:t>Effective in Written Communications</w:t>
      </w:r>
    </w:p>
    <w:p w:rsidR="00750FAD" w:rsidRDefault="00750FAD" w:rsidP="00750FAD">
      <w:pPr>
        <w:pStyle w:val="ListParagraph"/>
        <w:numPr>
          <w:ilvl w:val="2"/>
          <w:numId w:val="4"/>
        </w:numPr>
        <w:ind w:left="2160"/>
      </w:pPr>
      <w:r>
        <w:t>Effective at Internet-based Communications</w:t>
      </w:r>
    </w:p>
    <w:p w:rsidR="00750FAD" w:rsidRPr="00750FAD" w:rsidRDefault="00750FAD" w:rsidP="00750FAD"/>
    <w:p w:rsidR="00812983" w:rsidRDefault="00812983">
      <w:pPr>
        <w:rPr>
          <w:b/>
          <w:bCs/>
        </w:rPr>
      </w:pPr>
      <w:r>
        <w:br w:type="page"/>
      </w:r>
    </w:p>
    <w:p w:rsidR="000619A3" w:rsidRDefault="00666CBE" w:rsidP="000619A3">
      <w:pPr>
        <w:pStyle w:val="Heading1"/>
        <w:ind w:firstLine="360"/>
        <w:jc w:val="left"/>
      </w:pPr>
      <w:r>
        <w:lastRenderedPageBreak/>
        <w:t>2.</w:t>
      </w:r>
      <w:r>
        <w:tab/>
      </w:r>
      <w:r w:rsidR="000619A3">
        <w:t xml:space="preserve">List of Student Learning Outcomes </w:t>
      </w:r>
      <w:r w:rsidR="00FC0441">
        <w:t xml:space="preserve">(SLOs) </w:t>
      </w:r>
      <w:r w:rsidR="000619A3">
        <w:t>for this Degree/Certificate Program</w:t>
      </w:r>
    </w:p>
    <w:p w:rsidR="00812983" w:rsidRDefault="00812983" w:rsidP="00812983">
      <w:pPr>
        <w:pStyle w:val="NoSpacing"/>
        <w:ind w:left="720"/>
      </w:pPr>
      <w:r>
        <w:t>1</w:t>
      </w:r>
      <w:r>
        <w:tab/>
        <w:t>Communication</w:t>
      </w:r>
    </w:p>
    <w:p w:rsidR="00812983" w:rsidRDefault="00812983" w:rsidP="00812983">
      <w:pPr>
        <w:pStyle w:val="NoSpacing"/>
        <w:ind w:left="720"/>
      </w:pPr>
      <w:r>
        <w:t>1.1</w:t>
      </w:r>
      <w:r>
        <w:tab/>
      </w:r>
      <w:r>
        <w:tab/>
        <w:t>Communication</w:t>
      </w:r>
    </w:p>
    <w:p w:rsidR="00812983" w:rsidRDefault="00812983" w:rsidP="00812983">
      <w:pPr>
        <w:pStyle w:val="NoSpacing"/>
        <w:ind w:left="720"/>
      </w:pPr>
      <w:r>
        <w:t>1.2</w:t>
      </w:r>
      <w:r>
        <w:tab/>
      </w:r>
      <w:r>
        <w:tab/>
        <w:t>Ethics</w:t>
      </w:r>
    </w:p>
    <w:p w:rsidR="00812983" w:rsidRDefault="00812983" w:rsidP="00812983">
      <w:pPr>
        <w:pStyle w:val="NoSpacing"/>
        <w:ind w:left="720"/>
      </w:pPr>
    </w:p>
    <w:p w:rsidR="00812983" w:rsidRDefault="00812983" w:rsidP="00812983">
      <w:pPr>
        <w:pStyle w:val="NoSpacing"/>
        <w:ind w:left="720"/>
      </w:pPr>
      <w:r>
        <w:t>4</w:t>
      </w:r>
      <w:r>
        <w:tab/>
        <w:t>Construction Science</w:t>
      </w:r>
    </w:p>
    <w:p w:rsidR="00812983" w:rsidRDefault="00812983" w:rsidP="00812983">
      <w:pPr>
        <w:pStyle w:val="NoSpacing"/>
        <w:ind w:left="720"/>
      </w:pPr>
      <w:r>
        <w:t>4.1</w:t>
      </w:r>
      <w:r>
        <w:tab/>
        <w:t xml:space="preserve">  Design Theory </w:t>
      </w:r>
    </w:p>
    <w:p w:rsidR="00812983" w:rsidRDefault="00812983" w:rsidP="00812983">
      <w:pPr>
        <w:pStyle w:val="NoSpacing"/>
        <w:ind w:left="2160" w:hanging="1440"/>
      </w:pPr>
      <w:r>
        <w:t>4.11</w:t>
      </w:r>
      <w:r>
        <w:tab/>
        <w:t>Select one or more of the following options: Structural Mechanics; Electricity; Thermodynamics; Soil Mechanics.</w:t>
      </w:r>
    </w:p>
    <w:p w:rsidR="00812983" w:rsidRDefault="00812983" w:rsidP="00812983">
      <w:pPr>
        <w:pStyle w:val="NoSpacing"/>
        <w:ind w:left="720"/>
      </w:pPr>
      <w:r>
        <w:t>4.2</w:t>
      </w:r>
      <w:r>
        <w:tab/>
        <w:t xml:space="preserve">  Analysis and Design of Construction Systems </w:t>
      </w:r>
    </w:p>
    <w:p w:rsidR="00812983" w:rsidRDefault="00812983" w:rsidP="00812983">
      <w:pPr>
        <w:pStyle w:val="NoSpacing"/>
        <w:ind w:left="720"/>
      </w:pPr>
      <w:r>
        <w:t>4.21</w:t>
      </w:r>
      <w:r>
        <w:tab/>
      </w:r>
      <w:r>
        <w:tab/>
        <w:t>Civil</w:t>
      </w:r>
    </w:p>
    <w:p w:rsidR="00812983" w:rsidRDefault="00812983" w:rsidP="00812983">
      <w:pPr>
        <w:pStyle w:val="NoSpacing"/>
        <w:ind w:left="720"/>
      </w:pPr>
      <w:r>
        <w:t>4.22</w:t>
      </w:r>
      <w:r>
        <w:tab/>
      </w:r>
      <w:r>
        <w:tab/>
        <w:t>Electrical</w:t>
      </w:r>
    </w:p>
    <w:p w:rsidR="00812983" w:rsidRDefault="00812983" w:rsidP="00812983">
      <w:pPr>
        <w:pStyle w:val="NoSpacing"/>
        <w:ind w:left="720"/>
      </w:pPr>
      <w:r>
        <w:t>4.23</w:t>
      </w:r>
      <w:r>
        <w:tab/>
      </w:r>
      <w:r>
        <w:tab/>
        <w:t>Mechanical</w:t>
      </w:r>
    </w:p>
    <w:p w:rsidR="00812983" w:rsidRDefault="00812983" w:rsidP="00812983">
      <w:pPr>
        <w:pStyle w:val="NoSpacing"/>
        <w:ind w:left="720"/>
      </w:pPr>
      <w:r>
        <w:t>4.24</w:t>
      </w:r>
      <w:r>
        <w:tab/>
      </w:r>
      <w:r>
        <w:tab/>
        <w:t>Structural</w:t>
      </w:r>
    </w:p>
    <w:p w:rsidR="00812983" w:rsidRDefault="00812983" w:rsidP="00812983">
      <w:pPr>
        <w:pStyle w:val="NoSpacing"/>
        <w:ind w:left="720"/>
      </w:pPr>
      <w:r>
        <w:t>4.3</w:t>
      </w:r>
      <w:r>
        <w:tab/>
        <w:t xml:space="preserve">  Construction Methods and Materials </w:t>
      </w:r>
    </w:p>
    <w:p w:rsidR="00812983" w:rsidRDefault="00812983" w:rsidP="00812983">
      <w:pPr>
        <w:pStyle w:val="NoSpacing"/>
        <w:ind w:left="720"/>
      </w:pPr>
      <w:r>
        <w:t>4.31</w:t>
      </w:r>
      <w:r>
        <w:tab/>
      </w:r>
      <w:r>
        <w:tab/>
        <w:t>Composition and properties</w:t>
      </w:r>
    </w:p>
    <w:p w:rsidR="00812983" w:rsidRDefault="00812983" w:rsidP="00812983">
      <w:pPr>
        <w:pStyle w:val="NoSpacing"/>
        <w:ind w:left="720"/>
      </w:pPr>
      <w:r>
        <w:t>4.32</w:t>
      </w:r>
      <w:r>
        <w:tab/>
      </w:r>
      <w:r>
        <w:tab/>
        <w:t>Terminology &amp; Units of measure</w:t>
      </w:r>
    </w:p>
    <w:p w:rsidR="00812983" w:rsidRDefault="00812983" w:rsidP="00812983">
      <w:pPr>
        <w:pStyle w:val="NoSpacing"/>
        <w:ind w:left="720"/>
      </w:pPr>
      <w:r>
        <w:t>4.33</w:t>
      </w:r>
      <w:r>
        <w:tab/>
      </w:r>
      <w:r>
        <w:tab/>
        <w:t>Standard designations, sizes, and graduations</w:t>
      </w:r>
    </w:p>
    <w:p w:rsidR="00812983" w:rsidRDefault="00812983" w:rsidP="00812983">
      <w:pPr>
        <w:pStyle w:val="NoSpacing"/>
        <w:ind w:left="720"/>
      </w:pPr>
      <w:r>
        <w:t>4.34</w:t>
      </w:r>
      <w:r>
        <w:tab/>
      </w:r>
      <w:r>
        <w:tab/>
        <w:t>Conformance references and testing techniques</w:t>
      </w:r>
    </w:p>
    <w:p w:rsidR="00812983" w:rsidRDefault="00812983" w:rsidP="00812983">
      <w:pPr>
        <w:pStyle w:val="NoSpacing"/>
        <w:ind w:left="720"/>
      </w:pPr>
      <w:r>
        <w:t>4.35</w:t>
      </w:r>
      <w:r>
        <w:tab/>
      </w:r>
      <w:r>
        <w:tab/>
        <w:t>Products, systems and interface issues</w:t>
      </w:r>
    </w:p>
    <w:p w:rsidR="00812983" w:rsidRDefault="00812983" w:rsidP="00812983">
      <w:pPr>
        <w:pStyle w:val="NoSpacing"/>
        <w:ind w:left="720"/>
      </w:pPr>
      <w:r>
        <w:t>4.36</w:t>
      </w:r>
      <w:r>
        <w:tab/>
      </w:r>
      <w:r>
        <w:tab/>
        <w:t>Equipment applications and utilization</w:t>
      </w:r>
    </w:p>
    <w:p w:rsidR="00812983" w:rsidRDefault="00812983" w:rsidP="00812983">
      <w:pPr>
        <w:pStyle w:val="NoSpacing"/>
        <w:ind w:left="720"/>
      </w:pPr>
      <w:r>
        <w:t>4.37</w:t>
      </w:r>
      <w:r>
        <w:tab/>
      </w:r>
      <w:r>
        <w:tab/>
        <w:t>Comparative cost analysis</w:t>
      </w:r>
    </w:p>
    <w:p w:rsidR="00812983" w:rsidRDefault="00812983" w:rsidP="00812983">
      <w:pPr>
        <w:pStyle w:val="NoSpacing"/>
        <w:ind w:left="720"/>
      </w:pPr>
      <w:r>
        <w:t>4.38</w:t>
      </w:r>
      <w:r>
        <w:tab/>
      </w:r>
      <w:r>
        <w:tab/>
        <w:t>Assembly techniques &amp; equipment selection</w:t>
      </w:r>
    </w:p>
    <w:p w:rsidR="00812983" w:rsidRDefault="00812983" w:rsidP="00812983">
      <w:pPr>
        <w:pStyle w:val="NoSpacing"/>
        <w:ind w:left="720"/>
      </w:pPr>
      <w:r>
        <w:t>4.39</w:t>
      </w:r>
      <w:r>
        <w:tab/>
      </w:r>
      <w:r>
        <w:tab/>
        <w:t>Building Codes and Standards</w:t>
      </w:r>
    </w:p>
    <w:p w:rsidR="00812983" w:rsidRDefault="00812983" w:rsidP="00812983">
      <w:pPr>
        <w:pStyle w:val="NoSpacing"/>
        <w:ind w:left="720"/>
      </w:pPr>
      <w:r>
        <w:t>4.4</w:t>
      </w:r>
      <w:r>
        <w:tab/>
        <w:t xml:space="preserve">  Construction Graphics </w:t>
      </w:r>
    </w:p>
    <w:p w:rsidR="00812983" w:rsidRDefault="00812983" w:rsidP="00812983">
      <w:pPr>
        <w:pStyle w:val="NoSpacing"/>
        <w:ind w:left="720"/>
      </w:pPr>
      <w:r>
        <w:t>4.41</w:t>
      </w:r>
      <w:r>
        <w:tab/>
      </w:r>
      <w:r>
        <w:tab/>
        <w:t>Basic sketching and drawing techniques</w:t>
      </w:r>
    </w:p>
    <w:p w:rsidR="00812983" w:rsidRDefault="00812983" w:rsidP="00812983">
      <w:pPr>
        <w:pStyle w:val="NoSpacing"/>
        <w:ind w:left="720"/>
      </w:pPr>
      <w:r>
        <w:t>4.42</w:t>
      </w:r>
      <w:r>
        <w:tab/>
      </w:r>
      <w:r>
        <w:tab/>
        <w:t>Graphic vocabulary</w:t>
      </w:r>
    </w:p>
    <w:p w:rsidR="00812983" w:rsidRDefault="00812983" w:rsidP="00812983">
      <w:pPr>
        <w:pStyle w:val="NoSpacing"/>
        <w:ind w:left="720"/>
      </w:pPr>
      <w:r>
        <w:t>4.43</w:t>
      </w:r>
      <w:r>
        <w:tab/>
      </w:r>
      <w:r>
        <w:tab/>
        <w:t xml:space="preserve">Detail hierarchies, scale, </w:t>
      </w:r>
      <w:proofErr w:type="gramStart"/>
      <w:r>
        <w:t>content</w:t>
      </w:r>
      <w:proofErr w:type="gramEnd"/>
    </w:p>
    <w:p w:rsidR="00812983" w:rsidRDefault="00812983" w:rsidP="00812983">
      <w:pPr>
        <w:pStyle w:val="NoSpacing"/>
        <w:ind w:left="720"/>
      </w:pPr>
      <w:r>
        <w:t>4.44</w:t>
      </w:r>
      <w:r>
        <w:tab/>
      </w:r>
      <w:r>
        <w:tab/>
        <w:t>Notes and specifications, reference conventions</w:t>
      </w:r>
    </w:p>
    <w:p w:rsidR="00812983" w:rsidRDefault="00812983" w:rsidP="00812983">
      <w:pPr>
        <w:pStyle w:val="NoSpacing"/>
        <w:ind w:left="720"/>
      </w:pPr>
      <w:r>
        <w:t>4.45</w:t>
      </w:r>
      <w:r>
        <w:tab/>
      </w:r>
      <w:r>
        <w:tab/>
        <w:t>Computer applications</w:t>
      </w:r>
    </w:p>
    <w:p w:rsidR="00812983" w:rsidRDefault="00812983" w:rsidP="00812983">
      <w:pPr>
        <w:pStyle w:val="NoSpacing"/>
        <w:ind w:left="720"/>
      </w:pPr>
      <w:r>
        <w:t>4.5</w:t>
      </w:r>
      <w:r>
        <w:tab/>
        <w:t xml:space="preserve">   Construction Surveying </w:t>
      </w:r>
    </w:p>
    <w:p w:rsidR="00812983" w:rsidRDefault="00812983" w:rsidP="00812983">
      <w:pPr>
        <w:pStyle w:val="NoSpacing"/>
        <w:ind w:left="720"/>
      </w:pPr>
      <w:r>
        <w:t>4.51</w:t>
      </w:r>
      <w:r>
        <w:tab/>
      </w:r>
      <w:r>
        <w:tab/>
        <w:t>Survey, layout, and alignment control</w:t>
      </w:r>
    </w:p>
    <w:p w:rsidR="00812983" w:rsidRDefault="00812983" w:rsidP="00812983">
      <w:pPr>
        <w:pStyle w:val="NoSpacing"/>
        <w:ind w:left="720"/>
      </w:pPr>
      <w:r>
        <w:t>4.52</w:t>
      </w:r>
      <w:r>
        <w:tab/>
      </w:r>
      <w:r>
        <w:tab/>
        <w:t>Site organization and development</w:t>
      </w:r>
    </w:p>
    <w:p w:rsidR="00812983" w:rsidRDefault="00812983" w:rsidP="00812983">
      <w:pPr>
        <w:pStyle w:val="NoSpacing"/>
        <w:ind w:left="720"/>
      </w:pPr>
    </w:p>
    <w:p w:rsidR="00812983" w:rsidRDefault="00812983" w:rsidP="00812983">
      <w:pPr>
        <w:pStyle w:val="NoSpacing"/>
        <w:ind w:left="720"/>
      </w:pPr>
      <w:r>
        <w:t>5</w:t>
      </w:r>
      <w:r>
        <w:tab/>
        <w:t>Construction</w:t>
      </w:r>
    </w:p>
    <w:p w:rsidR="00812983" w:rsidRDefault="00812983" w:rsidP="00812983">
      <w:pPr>
        <w:pStyle w:val="NoSpacing"/>
        <w:ind w:left="720"/>
      </w:pPr>
      <w:r>
        <w:t>5.1</w:t>
      </w:r>
      <w:r>
        <w:tab/>
        <w:t xml:space="preserve">    Estimating</w:t>
      </w:r>
      <w:r>
        <w:tab/>
      </w:r>
      <w:r>
        <w:tab/>
      </w:r>
    </w:p>
    <w:p w:rsidR="00812983" w:rsidRDefault="00812983" w:rsidP="00812983">
      <w:pPr>
        <w:pStyle w:val="NoSpacing"/>
        <w:ind w:left="720"/>
      </w:pPr>
      <w:r>
        <w:t>5.11</w:t>
      </w:r>
      <w:r>
        <w:tab/>
      </w:r>
      <w:r>
        <w:tab/>
        <w:t>Types of estimates and uses</w:t>
      </w:r>
    </w:p>
    <w:p w:rsidR="00812983" w:rsidRDefault="00812983" w:rsidP="00812983">
      <w:pPr>
        <w:pStyle w:val="NoSpacing"/>
        <w:ind w:left="720"/>
      </w:pPr>
      <w:r>
        <w:t>5.12</w:t>
      </w:r>
      <w:r>
        <w:tab/>
      </w:r>
      <w:r>
        <w:tab/>
        <w:t>Quantity takeoff</w:t>
      </w:r>
    </w:p>
    <w:p w:rsidR="00812983" w:rsidRDefault="00812983" w:rsidP="00812983">
      <w:pPr>
        <w:pStyle w:val="NoSpacing"/>
        <w:ind w:left="720"/>
      </w:pPr>
      <w:r>
        <w:t>5.13</w:t>
      </w:r>
      <w:r>
        <w:tab/>
      </w:r>
      <w:r>
        <w:tab/>
        <w:t>Labor and equipment productivity factors</w:t>
      </w:r>
    </w:p>
    <w:p w:rsidR="00812983" w:rsidRDefault="00812983" w:rsidP="00812983">
      <w:pPr>
        <w:pStyle w:val="NoSpacing"/>
        <w:ind w:left="720"/>
      </w:pPr>
      <w:r>
        <w:t>5.14</w:t>
      </w:r>
      <w:r>
        <w:tab/>
      </w:r>
      <w:r>
        <w:tab/>
        <w:t>Pricing and price data bases</w:t>
      </w:r>
    </w:p>
    <w:p w:rsidR="00812983" w:rsidRDefault="00812983" w:rsidP="00812983">
      <w:pPr>
        <w:pStyle w:val="NoSpacing"/>
        <w:ind w:left="720"/>
      </w:pPr>
      <w:r>
        <w:t>5.15</w:t>
      </w:r>
      <w:r>
        <w:tab/>
      </w:r>
      <w:r>
        <w:tab/>
        <w:t>Job direct and indirect costs</w:t>
      </w:r>
    </w:p>
    <w:p w:rsidR="00812983" w:rsidRDefault="00812983" w:rsidP="00812983">
      <w:pPr>
        <w:pStyle w:val="NoSpacing"/>
        <w:ind w:left="720"/>
      </w:pPr>
      <w:r>
        <w:t>5.16</w:t>
      </w:r>
      <w:r>
        <w:tab/>
      </w:r>
      <w:r>
        <w:tab/>
        <w:t>Bid preparations and bid submission</w:t>
      </w:r>
    </w:p>
    <w:p w:rsidR="00812983" w:rsidRDefault="00812983" w:rsidP="00812983">
      <w:pPr>
        <w:pStyle w:val="NoSpacing"/>
        <w:ind w:left="720"/>
      </w:pPr>
      <w:r>
        <w:t>5.17</w:t>
      </w:r>
      <w:r>
        <w:tab/>
      </w:r>
      <w:r>
        <w:tab/>
        <w:t>Computer applications</w:t>
      </w:r>
    </w:p>
    <w:p w:rsidR="00812983" w:rsidRDefault="00812983" w:rsidP="00812983">
      <w:pPr>
        <w:pStyle w:val="NoSpacing"/>
        <w:ind w:left="720"/>
      </w:pPr>
      <w:r>
        <w:t>5.2</w:t>
      </w:r>
      <w:r>
        <w:tab/>
        <w:t xml:space="preserve">  Planning and Scheduling </w:t>
      </w:r>
    </w:p>
    <w:p w:rsidR="00812983" w:rsidRDefault="00812983" w:rsidP="00812983">
      <w:pPr>
        <w:pStyle w:val="NoSpacing"/>
        <w:ind w:left="720"/>
      </w:pPr>
      <w:r>
        <w:t>5.21</w:t>
      </w:r>
      <w:r>
        <w:tab/>
      </w:r>
      <w:r>
        <w:tab/>
        <w:t>Parameters affecting project planning</w:t>
      </w:r>
    </w:p>
    <w:p w:rsidR="00812983" w:rsidRDefault="00812983" w:rsidP="00812983">
      <w:pPr>
        <w:pStyle w:val="NoSpacing"/>
        <w:ind w:left="720"/>
      </w:pPr>
      <w:r>
        <w:t>5.22</w:t>
      </w:r>
      <w:r>
        <w:tab/>
      </w:r>
      <w:r>
        <w:tab/>
        <w:t>Schedule information presentation</w:t>
      </w:r>
    </w:p>
    <w:p w:rsidR="00812983" w:rsidRDefault="00812983" w:rsidP="00812983">
      <w:pPr>
        <w:pStyle w:val="NoSpacing"/>
        <w:ind w:left="720"/>
      </w:pPr>
      <w:r>
        <w:lastRenderedPageBreak/>
        <w:t>5.23</w:t>
      </w:r>
      <w:r>
        <w:tab/>
      </w:r>
      <w:r>
        <w:tab/>
        <w:t>Network diagramming and calculations with CPM</w:t>
      </w:r>
    </w:p>
    <w:p w:rsidR="00812983" w:rsidRDefault="00812983" w:rsidP="00812983">
      <w:pPr>
        <w:pStyle w:val="NoSpacing"/>
        <w:ind w:left="720"/>
      </w:pPr>
      <w:r>
        <w:t>5.24</w:t>
      </w:r>
      <w:r>
        <w:tab/>
      </w:r>
      <w:r>
        <w:tab/>
        <w:t>Resource allocation and management</w:t>
      </w:r>
    </w:p>
    <w:p w:rsidR="00812983" w:rsidRDefault="00812983" w:rsidP="00812983">
      <w:pPr>
        <w:pStyle w:val="NoSpacing"/>
        <w:ind w:left="720"/>
      </w:pPr>
      <w:r>
        <w:t>5.25</w:t>
      </w:r>
      <w:r>
        <w:tab/>
      </w:r>
      <w:r>
        <w:tab/>
        <w:t>Impact of changes</w:t>
      </w:r>
    </w:p>
    <w:p w:rsidR="00812983" w:rsidRDefault="00812983" w:rsidP="00812983">
      <w:pPr>
        <w:pStyle w:val="NoSpacing"/>
        <w:ind w:left="720"/>
      </w:pPr>
      <w:r>
        <w:t>5.26</w:t>
      </w:r>
      <w:r>
        <w:tab/>
      </w:r>
      <w:r>
        <w:tab/>
        <w:t>Computer applications</w:t>
      </w:r>
    </w:p>
    <w:p w:rsidR="00812983" w:rsidRDefault="00812983" w:rsidP="00812983">
      <w:pPr>
        <w:pStyle w:val="NoSpacing"/>
        <w:ind w:left="720"/>
      </w:pPr>
      <w:r>
        <w:t>5.3</w:t>
      </w:r>
      <w:r>
        <w:tab/>
        <w:t xml:space="preserve">  Construction Accounting and Finance </w:t>
      </w:r>
    </w:p>
    <w:p w:rsidR="00812983" w:rsidRDefault="00812983" w:rsidP="00812983">
      <w:pPr>
        <w:pStyle w:val="NoSpacing"/>
        <w:ind w:left="720"/>
      </w:pPr>
      <w:r>
        <w:t>5.31</w:t>
      </w:r>
      <w:r>
        <w:tab/>
      </w:r>
      <w:r>
        <w:tab/>
        <w:t>Cost accounting and industry formats</w:t>
      </w:r>
    </w:p>
    <w:p w:rsidR="00812983" w:rsidRDefault="00812983" w:rsidP="00812983">
      <w:pPr>
        <w:pStyle w:val="NoSpacing"/>
        <w:ind w:left="2160" w:hanging="1440"/>
      </w:pPr>
      <w:r>
        <w:t>5.32</w:t>
      </w:r>
      <w:r>
        <w:tab/>
        <w:t>Fixed and variable costs: insurance, bonding, marketing, general and administrative expenses</w:t>
      </w:r>
    </w:p>
    <w:p w:rsidR="00812983" w:rsidRDefault="00812983" w:rsidP="00812983">
      <w:pPr>
        <w:pStyle w:val="NoSpacing"/>
        <w:ind w:left="720"/>
      </w:pPr>
      <w:r>
        <w:t>5.33</w:t>
      </w:r>
      <w:r>
        <w:tab/>
      </w:r>
      <w:r>
        <w:tab/>
        <w:t>Bidding and procurement practices</w:t>
      </w:r>
    </w:p>
    <w:p w:rsidR="00812983" w:rsidRDefault="00812983" w:rsidP="00812983">
      <w:pPr>
        <w:pStyle w:val="NoSpacing"/>
        <w:ind w:left="720"/>
      </w:pPr>
      <w:r>
        <w:t>5.34</w:t>
      </w:r>
      <w:r>
        <w:tab/>
      </w:r>
      <w:r>
        <w:tab/>
        <w:t>Record and report practices</w:t>
      </w:r>
    </w:p>
    <w:p w:rsidR="00812983" w:rsidRDefault="00812983" w:rsidP="00812983">
      <w:pPr>
        <w:pStyle w:val="NoSpacing"/>
        <w:ind w:left="720"/>
      </w:pPr>
      <w:r>
        <w:t>5.35</w:t>
      </w:r>
      <w:r>
        <w:tab/>
      </w:r>
      <w:r>
        <w:tab/>
        <w:t>Capital equipment, depreciation, and expensing</w:t>
      </w:r>
    </w:p>
    <w:p w:rsidR="00812983" w:rsidRDefault="00812983" w:rsidP="00812983">
      <w:pPr>
        <w:pStyle w:val="NoSpacing"/>
        <w:ind w:left="720"/>
      </w:pPr>
      <w:r>
        <w:t>5.36</w:t>
      </w:r>
      <w:r>
        <w:tab/>
      </w:r>
      <w:r>
        <w:tab/>
        <w:t>Forecasting costs, cash flow requirements</w:t>
      </w:r>
    </w:p>
    <w:p w:rsidR="00812983" w:rsidRDefault="00812983" w:rsidP="00812983">
      <w:pPr>
        <w:pStyle w:val="NoSpacing"/>
        <w:ind w:left="720"/>
      </w:pPr>
      <w:r>
        <w:t>5.37</w:t>
      </w:r>
      <w:r>
        <w:tab/>
      </w:r>
      <w:r>
        <w:tab/>
        <w:t>Payment processes and time value of money</w:t>
      </w:r>
    </w:p>
    <w:p w:rsidR="00812983" w:rsidRDefault="00812983" w:rsidP="00812983">
      <w:pPr>
        <w:pStyle w:val="NoSpacing"/>
        <w:ind w:left="720"/>
      </w:pPr>
      <w:r>
        <w:t>5.4</w:t>
      </w:r>
      <w:r>
        <w:tab/>
        <w:t xml:space="preserve">  Construction Law </w:t>
      </w:r>
    </w:p>
    <w:p w:rsidR="00812983" w:rsidRDefault="00812983" w:rsidP="00812983">
      <w:pPr>
        <w:pStyle w:val="NoSpacing"/>
        <w:ind w:left="720"/>
      </w:pPr>
      <w:r>
        <w:t>5.41</w:t>
      </w:r>
      <w:r>
        <w:tab/>
      </w:r>
      <w:r>
        <w:tab/>
        <w:t>Construction contracts, roles &amp; responsibilities of parties</w:t>
      </w:r>
    </w:p>
    <w:p w:rsidR="00812983" w:rsidRDefault="00812983" w:rsidP="00812983">
      <w:pPr>
        <w:pStyle w:val="NoSpacing"/>
        <w:ind w:left="720"/>
      </w:pPr>
      <w:r>
        <w:t>5.42</w:t>
      </w:r>
      <w:r>
        <w:tab/>
      </w:r>
      <w:r>
        <w:tab/>
        <w:t>The regulatory environment and licensing</w:t>
      </w:r>
    </w:p>
    <w:p w:rsidR="00812983" w:rsidRDefault="00812983" w:rsidP="00812983">
      <w:pPr>
        <w:pStyle w:val="NoSpacing"/>
        <w:ind w:left="720"/>
      </w:pPr>
      <w:r>
        <w:t>5.43</w:t>
      </w:r>
      <w:r>
        <w:tab/>
      </w:r>
      <w:r>
        <w:tab/>
        <w:t>Lien laws and the contractor's rights</w:t>
      </w:r>
    </w:p>
    <w:p w:rsidR="00812983" w:rsidRDefault="00812983" w:rsidP="00812983">
      <w:pPr>
        <w:pStyle w:val="NoSpacing"/>
        <w:ind w:left="720"/>
      </w:pPr>
      <w:r>
        <w:t>5.44</w:t>
      </w:r>
      <w:r>
        <w:tab/>
      </w:r>
      <w:r>
        <w:tab/>
        <w:t>National and local labor law</w:t>
      </w:r>
    </w:p>
    <w:p w:rsidR="00812983" w:rsidRDefault="00812983" w:rsidP="00812983">
      <w:pPr>
        <w:pStyle w:val="NoSpacing"/>
        <w:ind w:left="720"/>
      </w:pPr>
      <w:r>
        <w:t>5.45</w:t>
      </w:r>
      <w:r>
        <w:tab/>
      </w:r>
      <w:r>
        <w:tab/>
        <w:t>Administrative procedures to avoid disputes</w:t>
      </w:r>
    </w:p>
    <w:p w:rsidR="00812983" w:rsidRDefault="00812983" w:rsidP="00812983">
      <w:pPr>
        <w:pStyle w:val="NoSpacing"/>
        <w:ind w:left="720"/>
      </w:pPr>
      <w:r>
        <w:t>5.5</w:t>
      </w:r>
      <w:r>
        <w:tab/>
        <w:t xml:space="preserve">  Safety</w:t>
      </w:r>
    </w:p>
    <w:p w:rsidR="00812983" w:rsidRDefault="00812983" w:rsidP="00812983">
      <w:pPr>
        <w:pStyle w:val="NoSpacing"/>
        <w:ind w:left="720"/>
      </w:pPr>
      <w:r>
        <w:t>5.51</w:t>
      </w:r>
      <w:r>
        <w:tab/>
      </w:r>
      <w:r>
        <w:tab/>
        <w:t>Safe practices</w:t>
      </w:r>
    </w:p>
    <w:p w:rsidR="00812983" w:rsidRDefault="00812983" w:rsidP="00812983">
      <w:pPr>
        <w:pStyle w:val="NoSpacing"/>
        <w:ind w:left="720"/>
      </w:pPr>
      <w:r>
        <w:t>5.52</w:t>
      </w:r>
      <w:r>
        <w:tab/>
      </w:r>
      <w:r>
        <w:tab/>
        <w:t>Mandatory procedures, training, records, and maintenance</w:t>
      </w:r>
    </w:p>
    <w:p w:rsidR="00812983" w:rsidRDefault="00812983" w:rsidP="00812983">
      <w:pPr>
        <w:pStyle w:val="NoSpacing"/>
        <w:ind w:left="720"/>
      </w:pPr>
      <w:r>
        <w:t>5.53</w:t>
      </w:r>
      <w:r>
        <w:tab/>
      </w:r>
      <w:r>
        <w:tab/>
        <w:t>Compliance, inspection, and penalties</w:t>
      </w:r>
    </w:p>
    <w:p w:rsidR="00812983" w:rsidRDefault="00812983" w:rsidP="00812983">
      <w:pPr>
        <w:pStyle w:val="NoSpacing"/>
        <w:ind w:left="720"/>
      </w:pPr>
      <w:r>
        <w:t>5.6</w:t>
      </w:r>
      <w:r>
        <w:tab/>
        <w:t xml:space="preserve">  Project Management </w:t>
      </w:r>
    </w:p>
    <w:p w:rsidR="00812983" w:rsidRDefault="00812983" w:rsidP="00812983">
      <w:pPr>
        <w:pStyle w:val="NoSpacing"/>
        <w:ind w:left="720"/>
      </w:pPr>
      <w:r>
        <w:t>5.61</w:t>
      </w:r>
      <w:r>
        <w:tab/>
      </w:r>
      <w:r>
        <w:tab/>
        <w:t>Concepts, roles, and responsibilities</w:t>
      </w:r>
    </w:p>
    <w:p w:rsidR="00812983" w:rsidRDefault="00812983" w:rsidP="00812983">
      <w:pPr>
        <w:pStyle w:val="NoSpacing"/>
        <w:ind w:left="720"/>
      </w:pPr>
      <w:r>
        <w:t>5.62</w:t>
      </w:r>
      <w:r>
        <w:tab/>
      </w:r>
      <w:r>
        <w:tab/>
        <w:t>Labor relations</w:t>
      </w:r>
    </w:p>
    <w:p w:rsidR="00812983" w:rsidRDefault="00812983" w:rsidP="00812983">
      <w:pPr>
        <w:pStyle w:val="NoSpacing"/>
        <w:ind w:left="720"/>
      </w:pPr>
      <w:r>
        <w:t>5.63</w:t>
      </w:r>
      <w:r>
        <w:tab/>
      </w:r>
      <w:r>
        <w:tab/>
        <w:t>Administrative systems and procedures</w:t>
      </w:r>
    </w:p>
    <w:p w:rsidR="00812983" w:rsidRDefault="00812983" w:rsidP="00812983">
      <w:pPr>
        <w:pStyle w:val="NoSpacing"/>
        <w:ind w:left="720"/>
      </w:pPr>
      <w:r>
        <w:t>5.64</w:t>
      </w:r>
      <w:r>
        <w:tab/>
      </w:r>
      <w:r>
        <w:tab/>
        <w:t>Cost control data and procedures</w:t>
      </w:r>
    </w:p>
    <w:p w:rsidR="00812983" w:rsidRDefault="00812983" w:rsidP="00812983">
      <w:pPr>
        <w:pStyle w:val="NoSpacing"/>
        <w:ind w:left="720"/>
      </w:pPr>
      <w:r>
        <w:t>5.65</w:t>
      </w:r>
      <w:r>
        <w:tab/>
      </w:r>
      <w:r>
        <w:tab/>
        <w:t>Documentation at job site and office</w:t>
      </w:r>
    </w:p>
    <w:p w:rsidR="00812983" w:rsidRDefault="00812983" w:rsidP="00812983">
      <w:pPr>
        <w:pStyle w:val="NoSpacing"/>
        <w:ind w:left="720"/>
      </w:pPr>
      <w:r>
        <w:t>5.66</w:t>
      </w:r>
      <w:r>
        <w:tab/>
      </w:r>
      <w:r>
        <w:tab/>
        <w:t>Quality control philosophies and techniques</w:t>
      </w:r>
    </w:p>
    <w:p w:rsidR="000619A3" w:rsidRDefault="00812983" w:rsidP="00812983">
      <w:pPr>
        <w:pStyle w:val="NoSpacing"/>
        <w:ind w:left="720"/>
      </w:pPr>
      <w:r>
        <w:t>5.67</w:t>
      </w:r>
      <w:r>
        <w:tab/>
      </w:r>
      <w:r>
        <w:tab/>
        <w:t>Computer applications</w:t>
      </w:r>
    </w:p>
    <w:p w:rsidR="00812983" w:rsidRPr="00666CBE" w:rsidRDefault="00812983" w:rsidP="00812983">
      <w:pPr>
        <w:pStyle w:val="NoSpacing"/>
        <w:ind w:left="720"/>
      </w:pPr>
    </w:p>
    <w:p w:rsidR="00C60B4A" w:rsidRDefault="00C60B4A">
      <w:pPr>
        <w:rPr>
          <w:b/>
        </w:rPr>
      </w:pPr>
      <w:r>
        <w:rPr>
          <w:b/>
        </w:rPr>
        <w:br w:type="page"/>
      </w:r>
    </w:p>
    <w:p w:rsidR="00BC491E" w:rsidRDefault="000F6786" w:rsidP="006D199B">
      <w:pPr>
        <w:keepNext/>
        <w:tabs>
          <w:tab w:val="left" w:pos="360"/>
        </w:tabs>
        <w:rPr>
          <w:b/>
          <w:u w:val="single"/>
        </w:rPr>
      </w:pPr>
      <w:r>
        <w:rPr>
          <w:b/>
        </w:rPr>
        <w:lastRenderedPageBreak/>
        <w:t>E.</w:t>
      </w:r>
      <w:r>
        <w:rPr>
          <w:b/>
        </w:rPr>
        <w:tab/>
      </w:r>
      <w:r w:rsidR="00316CE2" w:rsidRPr="005A1DEF">
        <w:rPr>
          <w:b/>
          <w:u w:val="single"/>
        </w:rPr>
        <w:t>Assessment of Student Learning Plan</w:t>
      </w:r>
    </w:p>
    <w:p w:rsidR="00D46E51" w:rsidRDefault="00D46E51" w:rsidP="00D46E51">
      <w:pPr>
        <w:tabs>
          <w:tab w:val="left" w:pos="360"/>
        </w:tabs>
        <w:ind w:left="360"/>
        <w:rPr>
          <w:b/>
        </w:rPr>
      </w:pPr>
      <w:r w:rsidRPr="00D46E51">
        <w:rPr>
          <w:b/>
        </w:rPr>
        <w:t>1.</w:t>
      </w:r>
      <w:r w:rsidRPr="00D46E51">
        <w:rPr>
          <w:b/>
        </w:rPr>
        <w:tab/>
      </w:r>
      <w:r w:rsidR="00FE621D">
        <w:rPr>
          <w:b/>
        </w:rPr>
        <w:t>Student Learning Outcomes</w:t>
      </w:r>
    </w:p>
    <w:p w:rsidR="00C60B4A" w:rsidRDefault="00C60B4A" w:rsidP="00FE621D">
      <w:pPr>
        <w:tabs>
          <w:tab w:val="left" w:pos="360"/>
        </w:tabs>
        <w:ind w:left="720"/>
        <w:rPr>
          <w:i/>
        </w:rPr>
      </w:pPr>
      <w:r>
        <w:rPr>
          <w:i/>
        </w:rPr>
        <w:t>The following table relates the Student Learning Outcomes listed above to the specific class in which the assessment will be performed.  The outcomes will be assessed at the end of each semester in which a course is being taught.</w:t>
      </w:r>
    </w:p>
    <w:tbl>
      <w:tblPr>
        <w:tblStyle w:val="TableGrid1"/>
        <w:tblW w:w="0" w:type="auto"/>
        <w:tblInd w:w="108" w:type="dxa"/>
        <w:tblLook w:val="04A0" w:firstRow="1" w:lastRow="0" w:firstColumn="1" w:lastColumn="0" w:noHBand="0" w:noVBand="1"/>
      </w:tblPr>
      <w:tblGrid>
        <w:gridCol w:w="4700"/>
        <w:gridCol w:w="2419"/>
        <w:gridCol w:w="2709"/>
      </w:tblGrid>
      <w:tr w:rsidR="00435CC6" w:rsidRPr="00C60B4A" w:rsidTr="002D2AF6">
        <w:tc>
          <w:tcPr>
            <w:tcW w:w="4700" w:type="dxa"/>
          </w:tcPr>
          <w:p w:rsidR="00435CC6" w:rsidRPr="00C60B4A" w:rsidRDefault="00435CC6" w:rsidP="00C60B4A">
            <w:pPr>
              <w:rPr>
                <w:b/>
                <w:sz w:val="22"/>
                <w:szCs w:val="22"/>
              </w:rPr>
            </w:pPr>
            <w:r w:rsidRPr="00C60B4A">
              <w:rPr>
                <w:b/>
                <w:sz w:val="22"/>
                <w:szCs w:val="22"/>
              </w:rPr>
              <w:t>Course</w:t>
            </w:r>
          </w:p>
        </w:tc>
        <w:tc>
          <w:tcPr>
            <w:tcW w:w="2419" w:type="dxa"/>
          </w:tcPr>
          <w:p w:rsidR="00435CC6" w:rsidRPr="00307750" w:rsidRDefault="00435CC6" w:rsidP="003758FB">
            <w:pPr>
              <w:rPr>
                <w:b/>
              </w:rPr>
            </w:pPr>
            <w:r w:rsidRPr="00307750">
              <w:rPr>
                <w:b/>
              </w:rPr>
              <w:t>Program Goals</w:t>
            </w:r>
          </w:p>
        </w:tc>
        <w:tc>
          <w:tcPr>
            <w:tcW w:w="2709" w:type="dxa"/>
          </w:tcPr>
          <w:p w:rsidR="00435CC6" w:rsidRPr="00C60B4A" w:rsidRDefault="00435CC6" w:rsidP="00C60B4A">
            <w:pPr>
              <w:rPr>
                <w:b/>
                <w:sz w:val="22"/>
                <w:szCs w:val="22"/>
              </w:rPr>
            </w:pPr>
            <w:r>
              <w:rPr>
                <w:b/>
                <w:sz w:val="22"/>
                <w:szCs w:val="22"/>
              </w:rPr>
              <w:t>Student Learning Outcomes</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130</w:t>
            </w:r>
            <w:r>
              <w:rPr>
                <w:sz w:val="22"/>
                <w:szCs w:val="22"/>
              </w:rPr>
              <w:t xml:space="preserve"> Construction Detailing</w:t>
            </w:r>
          </w:p>
        </w:tc>
        <w:tc>
          <w:tcPr>
            <w:tcW w:w="2419" w:type="dxa"/>
          </w:tcPr>
          <w:p w:rsidR="00435CC6" w:rsidRDefault="00435CC6" w:rsidP="003758FB">
            <w:r>
              <w:t>1a, 2a</w:t>
            </w:r>
          </w:p>
        </w:tc>
        <w:tc>
          <w:tcPr>
            <w:tcW w:w="2709" w:type="dxa"/>
          </w:tcPr>
          <w:p w:rsidR="00435CC6" w:rsidRPr="00C60B4A" w:rsidRDefault="00435CC6" w:rsidP="00C60B4A">
            <w:pPr>
              <w:rPr>
                <w:sz w:val="22"/>
                <w:szCs w:val="22"/>
              </w:rPr>
            </w:pPr>
            <w:r w:rsidRPr="00C60B4A">
              <w:rPr>
                <w:sz w:val="22"/>
                <w:szCs w:val="22"/>
              </w:rPr>
              <w:t>4.41, 4.42, 4.43, 4.44</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160</w:t>
            </w:r>
            <w:r>
              <w:rPr>
                <w:sz w:val="22"/>
                <w:szCs w:val="22"/>
              </w:rPr>
              <w:t xml:space="preserve"> Civil Engineering Design</w:t>
            </w:r>
          </w:p>
        </w:tc>
        <w:tc>
          <w:tcPr>
            <w:tcW w:w="2419" w:type="dxa"/>
          </w:tcPr>
          <w:p w:rsidR="00435CC6" w:rsidRDefault="00435CC6" w:rsidP="003758FB">
            <w:r>
              <w:t>1a, 2a, 3c</w:t>
            </w:r>
          </w:p>
        </w:tc>
        <w:tc>
          <w:tcPr>
            <w:tcW w:w="2709" w:type="dxa"/>
          </w:tcPr>
          <w:p w:rsidR="00435CC6" w:rsidRPr="00C60B4A" w:rsidRDefault="00435CC6" w:rsidP="00C60B4A">
            <w:pPr>
              <w:rPr>
                <w:sz w:val="22"/>
                <w:szCs w:val="22"/>
              </w:rPr>
            </w:pPr>
            <w:r w:rsidRPr="00C60B4A">
              <w:rPr>
                <w:sz w:val="22"/>
                <w:szCs w:val="22"/>
              </w:rPr>
              <w:t>4.45</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171</w:t>
            </w:r>
            <w:r>
              <w:rPr>
                <w:sz w:val="22"/>
                <w:szCs w:val="22"/>
              </w:rPr>
              <w:t xml:space="preserve"> Construction Materials and Techniques</w:t>
            </w:r>
          </w:p>
        </w:tc>
        <w:tc>
          <w:tcPr>
            <w:tcW w:w="2419" w:type="dxa"/>
          </w:tcPr>
          <w:p w:rsidR="00435CC6" w:rsidRDefault="00435CC6" w:rsidP="003758FB">
            <w:r>
              <w:t>1a, 2a</w:t>
            </w:r>
          </w:p>
        </w:tc>
        <w:tc>
          <w:tcPr>
            <w:tcW w:w="2709" w:type="dxa"/>
          </w:tcPr>
          <w:p w:rsidR="00435CC6" w:rsidRPr="00C60B4A" w:rsidRDefault="00435CC6" w:rsidP="00C60B4A">
            <w:pPr>
              <w:rPr>
                <w:sz w:val="22"/>
                <w:szCs w:val="22"/>
              </w:rPr>
            </w:pPr>
            <w:r w:rsidRPr="00C60B4A">
              <w:rPr>
                <w:sz w:val="22"/>
                <w:szCs w:val="22"/>
              </w:rPr>
              <w:t>1.1, 4.32, 4.35, 4.38, 4.39</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279</w:t>
            </w:r>
            <w:r>
              <w:rPr>
                <w:sz w:val="22"/>
                <w:szCs w:val="22"/>
              </w:rPr>
              <w:t xml:space="preserve"> Mechanical Electrical Systems Construction</w:t>
            </w:r>
          </w:p>
        </w:tc>
        <w:tc>
          <w:tcPr>
            <w:tcW w:w="2419" w:type="dxa"/>
          </w:tcPr>
          <w:p w:rsidR="00435CC6" w:rsidRDefault="00435CC6" w:rsidP="003758FB">
            <w:r>
              <w:t>2a, 3b</w:t>
            </w:r>
          </w:p>
        </w:tc>
        <w:tc>
          <w:tcPr>
            <w:tcW w:w="2709" w:type="dxa"/>
          </w:tcPr>
          <w:p w:rsidR="00435CC6" w:rsidRPr="00C60B4A" w:rsidRDefault="00435CC6" w:rsidP="00C60B4A">
            <w:pPr>
              <w:rPr>
                <w:sz w:val="22"/>
                <w:szCs w:val="22"/>
              </w:rPr>
            </w:pPr>
            <w:r w:rsidRPr="00C60B4A">
              <w:rPr>
                <w:sz w:val="22"/>
                <w:szCs w:val="22"/>
              </w:rPr>
              <w:t>4.11, 4.22, 4.23</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283</w:t>
            </w:r>
            <w:r>
              <w:rPr>
                <w:sz w:val="22"/>
                <w:szCs w:val="22"/>
              </w:rPr>
              <w:t xml:space="preserve"> </w:t>
            </w:r>
            <w:proofErr w:type="spellStart"/>
            <w:r>
              <w:rPr>
                <w:sz w:val="22"/>
                <w:szCs w:val="22"/>
              </w:rPr>
              <w:t>Geomatics</w:t>
            </w:r>
            <w:proofErr w:type="spellEnd"/>
            <w:r>
              <w:rPr>
                <w:sz w:val="22"/>
                <w:szCs w:val="22"/>
              </w:rPr>
              <w:t xml:space="preserve"> and Surveying</w:t>
            </w:r>
          </w:p>
        </w:tc>
        <w:tc>
          <w:tcPr>
            <w:tcW w:w="2419" w:type="dxa"/>
          </w:tcPr>
          <w:p w:rsidR="00435CC6" w:rsidRDefault="00435CC6" w:rsidP="003758FB">
            <w:r>
              <w:t>1a, 2a</w:t>
            </w:r>
          </w:p>
        </w:tc>
        <w:tc>
          <w:tcPr>
            <w:tcW w:w="2709" w:type="dxa"/>
          </w:tcPr>
          <w:p w:rsidR="00435CC6" w:rsidRPr="00C60B4A" w:rsidRDefault="00435CC6" w:rsidP="00C60B4A">
            <w:pPr>
              <w:rPr>
                <w:sz w:val="22"/>
                <w:szCs w:val="22"/>
              </w:rPr>
            </w:pPr>
            <w:r w:rsidRPr="00C60B4A">
              <w:rPr>
                <w:sz w:val="22"/>
                <w:szCs w:val="22"/>
              </w:rPr>
              <w:t>4.21, 4.51, 4.52</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305</w:t>
            </w:r>
            <w:r>
              <w:rPr>
                <w:sz w:val="22"/>
                <w:szCs w:val="22"/>
              </w:rPr>
              <w:t xml:space="preserve"> Infrastructure Materials Science</w:t>
            </w:r>
          </w:p>
        </w:tc>
        <w:tc>
          <w:tcPr>
            <w:tcW w:w="2419" w:type="dxa"/>
          </w:tcPr>
          <w:p w:rsidR="00435CC6" w:rsidRDefault="00435CC6" w:rsidP="003758FB">
            <w:r>
              <w:t>2a, 4a</w:t>
            </w:r>
          </w:p>
        </w:tc>
        <w:tc>
          <w:tcPr>
            <w:tcW w:w="2709" w:type="dxa"/>
          </w:tcPr>
          <w:p w:rsidR="00435CC6" w:rsidRPr="00C60B4A" w:rsidRDefault="00435CC6" w:rsidP="00C60B4A">
            <w:pPr>
              <w:rPr>
                <w:sz w:val="22"/>
                <w:szCs w:val="22"/>
              </w:rPr>
            </w:pPr>
            <w:r w:rsidRPr="00C60B4A">
              <w:rPr>
                <w:sz w:val="22"/>
                <w:szCs w:val="22"/>
              </w:rPr>
              <w:t>4.31, 4.32, 4.33, 4.34</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350</w:t>
            </w:r>
            <w:r>
              <w:rPr>
                <w:sz w:val="22"/>
                <w:szCs w:val="22"/>
              </w:rPr>
              <w:t xml:space="preserve"> Engineering Economics</w:t>
            </w:r>
          </w:p>
        </w:tc>
        <w:tc>
          <w:tcPr>
            <w:tcW w:w="2419" w:type="dxa"/>
          </w:tcPr>
          <w:p w:rsidR="00435CC6" w:rsidRDefault="00435CC6" w:rsidP="003758FB">
            <w:r>
              <w:t>3a,3c</w:t>
            </w:r>
          </w:p>
        </w:tc>
        <w:tc>
          <w:tcPr>
            <w:tcW w:w="2709" w:type="dxa"/>
          </w:tcPr>
          <w:p w:rsidR="00435CC6" w:rsidRPr="00C60B4A" w:rsidRDefault="00435CC6" w:rsidP="00C60B4A">
            <w:pPr>
              <w:rPr>
                <w:sz w:val="22"/>
                <w:szCs w:val="22"/>
              </w:rPr>
            </w:pPr>
            <w:r w:rsidRPr="00C60B4A">
              <w:rPr>
                <w:sz w:val="22"/>
                <w:szCs w:val="22"/>
              </w:rPr>
              <w:t>1.2, 5.35, 5.37</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370</w:t>
            </w:r>
            <w:r>
              <w:rPr>
                <w:sz w:val="22"/>
                <w:szCs w:val="22"/>
              </w:rPr>
              <w:t xml:space="preserve"> Construction Methods and Equipment</w:t>
            </w:r>
          </w:p>
        </w:tc>
        <w:tc>
          <w:tcPr>
            <w:tcW w:w="2419" w:type="dxa"/>
          </w:tcPr>
          <w:p w:rsidR="00435CC6" w:rsidRDefault="00435CC6" w:rsidP="003758FB">
            <w:r>
              <w:t>1b, 2b, 3a, 3b</w:t>
            </w:r>
          </w:p>
        </w:tc>
        <w:tc>
          <w:tcPr>
            <w:tcW w:w="2709" w:type="dxa"/>
          </w:tcPr>
          <w:p w:rsidR="00435CC6" w:rsidRPr="00C60B4A" w:rsidRDefault="00435CC6" w:rsidP="00C60B4A">
            <w:pPr>
              <w:rPr>
                <w:sz w:val="22"/>
                <w:szCs w:val="22"/>
              </w:rPr>
            </w:pPr>
            <w:r w:rsidRPr="00C60B4A">
              <w:rPr>
                <w:sz w:val="22"/>
                <w:szCs w:val="22"/>
              </w:rPr>
              <w:t>4.36, 4.37, 4.38</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371</w:t>
            </w:r>
            <w:r>
              <w:rPr>
                <w:sz w:val="22"/>
                <w:szCs w:val="22"/>
              </w:rPr>
              <w:t xml:space="preserve"> Structures for Construction</w:t>
            </w:r>
          </w:p>
        </w:tc>
        <w:tc>
          <w:tcPr>
            <w:tcW w:w="2419" w:type="dxa"/>
          </w:tcPr>
          <w:p w:rsidR="00435CC6" w:rsidRDefault="00435CC6" w:rsidP="003758FB">
            <w:r>
              <w:t>2a, 3a</w:t>
            </w:r>
          </w:p>
        </w:tc>
        <w:tc>
          <w:tcPr>
            <w:tcW w:w="2709" w:type="dxa"/>
          </w:tcPr>
          <w:p w:rsidR="00435CC6" w:rsidRPr="00C60B4A" w:rsidRDefault="00435CC6" w:rsidP="00C60B4A">
            <w:pPr>
              <w:rPr>
                <w:sz w:val="22"/>
                <w:szCs w:val="22"/>
              </w:rPr>
            </w:pPr>
            <w:r w:rsidRPr="00C60B4A">
              <w:rPr>
                <w:sz w:val="22"/>
                <w:szCs w:val="22"/>
              </w:rPr>
              <w:t>4.11, 4.24</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376</w:t>
            </w:r>
            <w:r>
              <w:rPr>
                <w:sz w:val="22"/>
                <w:szCs w:val="22"/>
              </w:rPr>
              <w:t xml:space="preserve"> Construction Estimating</w:t>
            </w:r>
          </w:p>
        </w:tc>
        <w:tc>
          <w:tcPr>
            <w:tcW w:w="2419" w:type="dxa"/>
          </w:tcPr>
          <w:p w:rsidR="00435CC6" w:rsidRDefault="00435CC6" w:rsidP="003758FB">
            <w:r>
              <w:t>1a, 1b</w:t>
            </w:r>
          </w:p>
        </w:tc>
        <w:tc>
          <w:tcPr>
            <w:tcW w:w="2709" w:type="dxa"/>
          </w:tcPr>
          <w:p w:rsidR="00435CC6" w:rsidRPr="00C60B4A" w:rsidRDefault="00435CC6" w:rsidP="00C60B4A">
            <w:pPr>
              <w:rPr>
                <w:sz w:val="22"/>
                <w:szCs w:val="22"/>
              </w:rPr>
            </w:pPr>
            <w:r w:rsidRPr="00C60B4A">
              <w:rPr>
                <w:sz w:val="22"/>
                <w:szCs w:val="22"/>
              </w:rPr>
              <w:t>1.2, 5.11, 5.12, 5.13, 5.14, 5.15, 5.16, 5.17</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377</w:t>
            </w:r>
            <w:r>
              <w:rPr>
                <w:sz w:val="22"/>
                <w:szCs w:val="22"/>
              </w:rPr>
              <w:t xml:space="preserve"> Construction Scheduling</w:t>
            </w:r>
          </w:p>
        </w:tc>
        <w:tc>
          <w:tcPr>
            <w:tcW w:w="2419" w:type="dxa"/>
          </w:tcPr>
          <w:p w:rsidR="00435CC6" w:rsidRDefault="00435CC6" w:rsidP="003758FB">
            <w:r>
              <w:t>1b, 3a</w:t>
            </w:r>
          </w:p>
        </w:tc>
        <w:tc>
          <w:tcPr>
            <w:tcW w:w="2709" w:type="dxa"/>
          </w:tcPr>
          <w:p w:rsidR="00435CC6" w:rsidRPr="00C60B4A" w:rsidRDefault="00435CC6" w:rsidP="00C60B4A">
            <w:pPr>
              <w:rPr>
                <w:sz w:val="22"/>
                <w:szCs w:val="22"/>
              </w:rPr>
            </w:pPr>
            <w:r w:rsidRPr="00C60B4A">
              <w:rPr>
                <w:sz w:val="22"/>
                <w:szCs w:val="22"/>
              </w:rPr>
              <w:t>1.1, 5.21, 5.22, 5.23, 5.24, 5.25, 5.26</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409</w:t>
            </w:r>
            <w:r>
              <w:rPr>
                <w:sz w:val="22"/>
                <w:szCs w:val="22"/>
              </w:rPr>
              <w:t xml:space="preserve"> Engineering Ethics</w:t>
            </w:r>
          </w:p>
        </w:tc>
        <w:tc>
          <w:tcPr>
            <w:tcW w:w="2419" w:type="dxa"/>
          </w:tcPr>
          <w:p w:rsidR="00435CC6" w:rsidRDefault="00435CC6" w:rsidP="003758FB">
            <w:r>
              <w:t>2b, 4b</w:t>
            </w:r>
          </w:p>
        </w:tc>
        <w:tc>
          <w:tcPr>
            <w:tcW w:w="2709" w:type="dxa"/>
            <w:shd w:val="clear" w:color="auto" w:fill="auto"/>
          </w:tcPr>
          <w:p w:rsidR="00435CC6" w:rsidRPr="00C60B4A" w:rsidRDefault="00435CC6" w:rsidP="00C60B4A">
            <w:pPr>
              <w:rPr>
                <w:sz w:val="22"/>
                <w:szCs w:val="22"/>
              </w:rPr>
            </w:pPr>
            <w:r w:rsidRPr="00C60B4A">
              <w:rPr>
                <w:sz w:val="22"/>
                <w:szCs w:val="22"/>
              </w:rPr>
              <w:t>1.1, 1.2</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455</w:t>
            </w:r>
            <w:r>
              <w:rPr>
                <w:sz w:val="22"/>
                <w:szCs w:val="22"/>
              </w:rPr>
              <w:t xml:space="preserve"> Engineering Project Management</w:t>
            </w:r>
          </w:p>
        </w:tc>
        <w:tc>
          <w:tcPr>
            <w:tcW w:w="2419" w:type="dxa"/>
          </w:tcPr>
          <w:p w:rsidR="00435CC6" w:rsidRDefault="00435CC6" w:rsidP="003758FB">
            <w:r>
              <w:t>2b, 3b, 4b</w:t>
            </w:r>
          </w:p>
        </w:tc>
        <w:tc>
          <w:tcPr>
            <w:tcW w:w="2709" w:type="dxa"/>
          </w:tcPr>
          <w:p w:rsidR="00435CC6" w:rsidRPr="00C60B4A" w:rsidRDefault="00435CC6" w:rsidP="00C60B4A">
            <w:pPr>
              <w:rPr>
                <w:sz w:val="22"/>
                <w:szCs w:val="22"/>
              </w:rPr>
            </w:pPr>
            <w:r w:rsidRPr="00C60B4A">
              <w:rPr>
                <w:sz w:val="22"/>
                <w:szCs w:val="22"/>
              </w:rPr>
              <w:t>1.1, 1.2, 5.32, 5.33, 5.61, 5.62, 5.63, 5.64, 5.65, 5.66, 5.67</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473</w:t>
            </w:r>
            <w:r>
              <w:rPr>
                <w:sz w:val="22"/>
                <w:szCs w:val="22"/>
              </w:rPr>
              <w:t xml:space="preserve"> Construction Law</w:t>
            </w:r>
          </w:p>
        </w:tc>
        <w:tc>
          <w:tcPr>
            <w:tcW w:w="2419" w:type="dxa"/>
          </w:tcPr>
          <w:p w:rsidR="00435CC6" w:rsidRDefault="00435CC6" w:rsidP="003758FB">
            <w:r>
              <w:t>1a, 4c</w:t>
            </w:r>
          </w:p>
        </w:tc>
        <w:tc>
          <w:tcPr>
            <w:tcW w:w="2709" w:type="dxa"/>
          </w:tcPr>
          <w:p w:rsidR="00435CC6" w:rsidRPr="00C60B4A" w:rsidRDefault="00435CC6" w:rsidP="00C60B4A">
            <w:pPr>
              <w:rPr>
                <w:sz w:val="22"/>
                <w:szCs w:val="22"/>
              </w:rPr>
            </w:pPr>
            <w:r w:rsidRPr="00C60B4A">
              <w:rPr>
                <w:sz w:val="22"/>
                <w:szCs w:val="22"/>
              </w:rPr>
              <w:t>1.2, 5.41, 5.42, 5.43, 5.44, 5.45</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474</w:t>
            </w:r>
            <w:r>
              <w:rPr>
                <w:sz w:val="22"/>
                <w:szCs w:val="22"/>
              </w:rPr>
              <w:t xml:space="preserve"> Principles of Written Construction Documents</w:t>
            </w:r>
          </w:p>
        </w:tc>
        <w:tc>
          <w:tcPr>
            <w:tcW w:w="2419" w:type="dxa"/>
          </w:tcPr>
          <w:p w:rsidR="00435CC6" w:rsidRDefault="00435CC6" w:rsidP="003758FB">
            <w:r>
              <w:t>1a, 4c</w:t>
            </w:r>
          </w:p>
        </w:tc>
        <w:tc>
          <w:tcPr>
            <w:tcW w:w="2709" w:type="dxa"/>
            <w:shd w:val="clear" w:color="auto" w:fill="auto"/>
          </w:tcPr>
          <w:p w:rsidR="00435CC6" w:rsidRPr="00C60B4A" w:rsidRDefault="00435CC6" w:rsidP="00C60B4A">
            <w:pPr>
              <w:rPr>
                <w:sz w:val="22"/>
                <w:szCs w:val="22"/>
              </w:rPr>
            </w:pPr>
            <w:r w:rsidRPr="00C60B4A">
              <w:rPr>
                <w:sz w:val="22"/>
                <w:szCs w:val="22"/>
              </w:rPr>
              <w:t>1.1, 5.41, 5.42, 5.61, 5.63, 5.65</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475</w:t>
            </w:r>
            <w:r>
              <w:rPr>
                <w:sz w:val="22"/>
                <w:szCs w:val="22"/>
              </w:rPr>
              <w:t xml:space="preserve"> Construction Safety</w:t>
            </w:r>
          </w:p>
        </w:tc>
        <w:tc>
          <w:tcPr>
            <w:tcW w:w="2419" w:type="dxa"/>
          </w:tcPr>
          <w:p w:rsidR="00435CC6" w:rsidRDefault="00435CC6" w:rsidP="003758FB">
            <w:r>
              <w:t>1c, 4c</w:t>
            </w:r>
          </w:p>
        </w:tc>
        <w:tc>
          <w:tcPr>
            <w:tcW w:w="2709" w:type="dxa"/>
          </w:tcPr>
          <w:p w:rsidR="00435CC6" w:rsidRPr="00C60B4A" w:rsidRDefault="00435CC6" w:rsidP="00C60B4A">
            <w:pPr>
              <w:rPr>
                <w:sz w:val="22"/>
                <w:szCs w:val="22"/>
              </w:rPr>
            </w:pPr>
            <w:r w:rsidRPr="00C60B4A">
              <w:rPr>
                <w:sz w:val="22"/>
                <w:szCs w:val="22"/>
              </w:rPr>
              <w:t>1.2, 5.51, 5.52, 5.53</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477</w:t>
            </w:r>
            <w:r>
              <w:rPr>
                <w:sz w:val="22"/>
                <w:szCs w:val="22"/>
              </w:rPr>
              <w:t xml:space="preserve"> Project Controls</w:t>
            </w:r>
          </w:p>
        </w:tc>
        <w:tc>
          <w:tcPr>
            <w:tcW w:w="2419" w:type="dxa"/>
          </w:tcPr>
          <w:p w:rsidR="00435CC6" w:rsidRDefault="00435CC6" w:rsidP="003758FB">
            <w:r>
              <w:t>1c, 2c, 3c</w:t>
            </w:r>
          </w:p>
        </w:tc>
        <w:tc>
          <w:tcPr>
            <w:tcW w:w="2709" w:type="dxa"/>
          </w:tcPr>
          <w:p w:rsidR="00435CC6" w:rsidRPr="00C60B4A" w:rsidRDefault="00435CC6" w:rsidP="00C60B4A">
            <w:pPr>
              <w:rPr>
                <w:sz w:val="22"/>
                <w:szCs w:val="22"/>
              </w:rPr>
            </w:pPr>
            <w:r w:rsidRPr="00C60B4A">
              <w:rPr>
                <w:sz w:val="22"/>
                <w:szCs w:val="22"/>
              </w:rPr>
              <w:t>1.1, 5.11, 5.12, 5.13, 5.14, 5.15, 5.17, 5.21, 5.23, 5.24, 5.25, 5.26, 5.31, 5.32, 5.33, 5.34, 5.36, 5.61, 5.64, 5.67</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478</w:t>
            </w:r>
            <w:r>
              <w:rPr>
                <w:sz w:val="22"/>
                <w:szCs w:val="22"/>
              </w:rPr>
              <w:t xml:space="preserve"> Design of Temporary Support Structures</w:t>
            </w:r>
          </w:p>
        </w:tc>
        <w:tc>
          <w:tcPr>
            <w:tcW w:w="2419" w:type="dxa"/>
          </w:tcPr>
          <w:p w:rsidR="00435CC6" w:rsidRDefault="00435CC6" w:rsidP="003758FB">
            <w:r>
              <w:t>2a, 4a</w:t>
            </w:r>
          </w:p>
        </w:tc>
        <w:tc>
          <w:tcPr>
            <w:tcW w:w="2709" w:type="dxa"/>
          </w:tcPr>
          <w:p w:rsidR="00435CC6" w:rsidRPr="00C60B4A" w:rsidRDefault="00435CC6" w:rsidP="00C60B4A">
            <w:pPr>
              <w:rPr>
                <w:sz w:val="22"/>
                <w:szCs w:val="22"/>
              </w:rPr>
            </w:pPr>
            <w:r w:rsidRPr="00C60B4A">
              <w:rPr>
                <w:sz w:val="22"/>
                <w:szCs w:val="22"/>
              </w:rPr>
              <w:t>4.11, 4.24</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495</w:t>
            </w:r>
            <w:r>
              <w:rPr>
                <w:sz w:val="22"/>
                <w:szCs w:val="22"/>
              </w:rPr>
              <w:t xml:space="preserve"> Construction Internship</w:t>
            </w:r>
          </w:p>
        </w:tc>
        <w:tc>
          <w:tcPr>
            <w:tcW w:w="2419" w:type="dxa"/>
          </w:tcPr>
          <w:p w:rsidR="00435CC6" w:rsidRDefault="00435CC6" w:rsidP="003758FB">
            <w:r>
              <w:t>1a, 1b, 2a, 2b, 3b, 4a</w:t>
            </w:r>
          </w:p>
        </w:tc>
        <w:tc>
          <w:tcPr>
            <w:tcW w:w="2709" w:type="dxa"/>
            <w:shd w:val="clear" w:color="auto" w:fill="auto"/>
          </w:tcPr>
          <w:p w:rsidR="00435CC6" w:rsidRPr="00C60B4A" w:rsidRDefault="00435CC6" w:rsidP="00C60B4A">
            <w:pPr>
              <w:rPr>
                <w:sz w:val="22"/>
                <w:szCs w:val="22"/>
              </w:rPr>
            </w:pPr>
            <w:r w:rsidRPr="00C60B4A">
              <w:rPr>
                <w:sz w:val="22"/>
                <w:szCs w:val="22"/>
              </w:rPr>
              <w:t>5.51, 5.52, 5.53, 5.61, 5.62, 5.63, 5.64, 5.65, 5.66,5.67</w:t>
            </w:r>
          </w:p>
        </w:tc>
      </w:tr>
      <w:tr w:rsidR="00435CC6" w:rsidRPr="00C60B4A" w:rsidTr="002D2AF6">
        <w:tc>
          <w:tcPr>
            <w:tcW w:w="4700" w:type="dxa"/>
          </w:tcPr>
          <w:p w:rsidR="00435CC6" w:rsidRPr="00C60B4A" w:rsidRDefault="00435CC6" w:rsidP="00C60B4A">
            <w:pPr>
              <w:rPr>
                <w:sz w:val="22"/>
                <w:szCs w:val="22"/>
              </w:rPr>
            </w:pPr>
            <w:r w:rsidRPr="00C60B4A">
              <w:rPr>
                <w:sz w:val="22"/>
                <w:szCs w:val="22"/>
              </w:rPr>
              <w:t>CE 497</w:t>
            </w:r>
            <w:r>
              <w:rPr>
                <w:sz w:val="22"/>
                <w:szCs w:val="22"/>
              </w:rPr>
              <w:t xml:space="preserve"> Design Construction Integration</w:t>
            </w:r>
          </w:p>
        </w:tc>
        <w:tc>
          <w:tcPr>
            <w:tcW w:w="2419" w:type="dxa"/>
          </w:tcPr>
          <w:p w:rsidR="00435CC6" w:rsidRDefault="00435CC6" w:rsidP="003758FB">
            <w:r>
              <w:t>2a, 2b, 2c, 3c, 4a, 4b</w:t>
            </w:r>
          </w:p>
        </w:tc>
        <w:tc>
          <w:tcPr>
            <w:tcW w:w="2709" w:type="dxa"/>
          </w:tcPr>
          <w:p w:rsidR="00435CC6" w:rsidRPr="00C60B4A" w:rsidRDefault="00435CC6" w:rsidP="00C60B4A">
            <w:pPr>
              <w:rPr>
                <w:sz w:val="22"/>
                <w:szCs w:val="22"/>
              </w:rPr>
            </w:pPr>
            <w:r w:rsidRPr="00C60B4A">
              <w:rPr>
                <w:sz w:val="22"/>
                <w:szCs w:val="22"/>
              </w:rPr>
              <w:t>1.1, 1.2, 5.11, 5.12, 5.13, 5.14, 5.15, 5.16, 5.17, 5.22, 5.23, 5.26, 5.51, 5.61</w:t>
            </w:r>
          </w:p>
        </w:tc>
      </w:tr>
    </w:tbl>
    <w:p w:rsidR="00C60B4A" w:rsidRDefault="00C60B4A" w:rsidP="00FE621D">
      <w:pPr>
        <w:tabs>
          <w:tab w:val="left" w:pos="360"/>
        </w:tabs>
        <w:ind w:left="720"/>
        <w:rPr>
          <w:i/>
        </w:rPr>
      </w:pPr>
    </w:p>
    <w:p w:rsidR="00C60B4A" w:rsidRDefault="00C60B4A" w:rsidP="00FE621D">
      <w:pPr>
        <w:tabs>
          <w:tab w:val="left" w:pos="360"/>
        </w:tabs>
        <w:ind w:left="720"/>
        <w:rPr>
          <w:i/>
        </w:rPr>
      </w:pPr>
    </w:p>
    <w:p w:rsidR="001F4352" w:rsidRPr="00010193" w:rsidRDefault="001F4352" w:rsidP="00010193">
      <w:pPr>
        <w:tabs>
          <w:tab w:val="left" w:pos="360"/>
        </w:tabs>
        <w:ind w:left="360"/>
        <w:rPr>
          <w:b/>
        </w:rPr>
      </w:pPr>
      <w:r w:rsidRPr="00010193">
        <w:rPr>
          <w:b/>
        </w:rPr>
        <w:t>2.</w:t>
      </w:r>
      <w:r w:rsidRPr="00010193">
        <w:rPr>
          <w:b/>
        </w:rPr>
        <w:tab/>
        <w:t>How will learning outcomes be assessed</w:t>
      </w:r>
      <w:r w:rsidR="00010193" w:rsidRPr="00010193">
        <w:rPr>
          <w:b/>
        </w:rPr>
        <w:t>?</w:t>
      </w:r>
    </w:p>
    <w:p w:rsidR="00916A61" w:rsidRDefault="00010193" w:rsidP="00FE621D">
      <w:pPr>
        <w:tabs>
          <w:tab w:val="left" w:pos="360"/>
        </w:tabs>
        <w:ind w:left="720"/>
        <w:rPr>
          <w:i/>
        </w:rPr>
      </w:pPr>
      <w:r w:rsidRPr="007F7783">
        <w:t xml:space="preserve">A. </w:t>
      </w:r>
      <w:r w:rsidRPr="007F7783">
        <w:rPr>
          <w:u w:val="single"/>
        </w:rPr>
        <w:t>What</w:t>
      </w:r>
      <w:r w:rsidRPr="007F7783">
        <w:t>:</w:t>
      </w:r>
      <w:r>
        <w:rPr>
          <w:i/>
        </w:rPr>
        <w:t xml:space="preserve"> </w:t>
      </w:r>
    </w:p>
    <w:p w:rsidR="00010193" w:rsidRDefault="00916A61" w:rsidP="00CE5812">
      <w:pPr>
        <w:tabs>
          <w:tab w:val="left" w:pos="360"/>
          <w:tab w:val="left" w:pos="1080"/>
        </w:tabs>
        <w:ind w:left="1440" w:hanging="360"/>
        <w:rPr>
          <w:i/>
        </w:rPr>
      </w:pPr>
      <w:proofErr w:type="spellStart"/>
      <w:r>
        <w:t>i</w:t>
      </w:r>
      <w:proofErr w:type="spellEnd"/>
      <w:r>
        <w:t>.</w:t>
      </w:r>
      <w:r>
        <w:tab/>
      </w:r>
      <w:r w:rsidR="00435CC6" w:rsidRPr="00435CC6">
        <w:rPr>
          <w:i/>
        </w:rPr>
        <w:t xml:space="preserve">Each instructor is required to complete the applicable </w:t>
      </w:r>
      <w:r w:rsidR="00435CC6" w:rsidRPr="00435CC6">
        <w:t>Outcome Assessment Report</w:t>
      </w:r>
      <w:r w:rsidR="00435CC6" w:rsidRPr="00435CC6">
        <w:rPr>
          <w:i/>
        </w:rPr>
        <w:t xml:space="preserve"> for their class at the end of each semester.  The </w:t>
      </w:r>
      <w:r w:rsidR="00435CC6" w:rsidRPr="00435CC6">
        <w:t>Outcome Assessment Report</w:t>
      </w:r>
      <w:r w:rsidR="00435CC6" w:rsidRPr="00435CC6">
        <w:rPr>
          <w:i/>
        </w:rPr>
        <w:t xml:space="preserve"> </w:t>
      </w:r>
      <w:r w:rsidR="00435CC6" w:rsidRPr="00435CC6">
        <w:rPr>
          <w:i/>
        </w:rPr>
        <w:lastRenderedPageBreak/>
        <w:t>identifies the applicable Program Goals and the Student Learning Outcomes applicable for that course.  It is up to the instructor to determine what type of student work will be evaluated to determine the level of student understanding of the applicable topic.</w:t>
      </w:r>
      <w:r w:rsidR="00435CC6">
        <w:t xml:space="preserve"> </w:t>
      </w:r>
      <w:r w:rsidR="00072C1C">
        <w:rPr>
          <w:i/>
        </w:rPr>
        <w:t xml:space="preserve">  </w:t>
      </w:r>
    </w:p>
    <w:p w:rsidR="007F7783" w:rsidRDefault="00916A61" w:rsidP="00CE5812">
      <w:pPr>
        <w:tabs>
          <w:tab w:val="left" w:pos="360"/>
          <w:tab w:val="left" w:pos="1080"/>
        </w:tabs>
        <w:ind w:left="1440" w:hanging="360"/>
        <w:rPr>
          <w:i/>
        </w:rPr>
      </w:pPr>
      <w:r>
        <w:t>ii.</w:t>
      </w:r>
      <w:r>
        <w:tab/>
      </w:r>
      <w:r w:rsidR="00435CC6" w:rsidRPr="00435CC6">
        <w:rPr>
          <w:i/>
        </w:rPr>
        <w:t>Since actual student work is being evaluated, all of the assessments are based on direct results.</w:t>
      </w:r>
    </w:p>
    <w:p w:rsidR="004E198E" w:rsidRPr="00FA24C9" w:rsidRDefault="004E198E" w:rsidP="00CE5812">
      <w:pPr>
        <w:tabs>
          <w:tab w:val="left" w:pos="360"/>
          <w:tab w:val="left" w:pos="1080"/>
        </w:tabs>
        <w:ind w:left="1440" w:hanging="360"/>
        <w:rPr>
          <w:i/>
        </w:rPr>
      </w:pPr>
      <w:r>
        <w:rPr>
          <w:i/>
        </w:rPr>
        <w:t>iii.</w:t>
      </w:r>
      <w:r>
        <w:rPr>
          <w:i/>
        </w:rPr>
        <w:tab/>
      </w:r>
      <w:r w:rsidR="00435CC6">
        <w:rPr>
          <w:i/>
        </w:rPr>
        <w:t xml:space="preserve">The goal is for 80% of all students to obtain a level of 2 or higher based on a rubric of 1 being unacceptable, 2 being acceptable, and 3 being exemplary.  </w:t>
      </w:r>
    </w:p>
    <w:p w:rsidR="007F7783" w:rsidRDefault="007F7783" w:rsidP="00916A61">
      <w:pPr>
        <w:tabs>
          <w:tab w:val="left" w:pos="360"/>
          <w:tab w:val="left" w:pos="1080"/>
        </w:tabs>
        <w:ind w:left="720"/>
        <w:rPr>
          <w:i/>
        </w:rPr>
      </w:pPr>
    </w:p>
    <w:p w:rsidR="00E9171C" w:rsidRPr="00435CC6" w:rsidRDefault="00CE5812" w:rsidP="00545226">
      <w:pPr>
        <w:tabs>
          <w:tab w:val="left" w:pos="360"/>
          <w:tab w:val="left" w:pos="1080"/>
          <w:tab w:val="left" w:pos="1800"/>
        </w:tabs>
        <w:ind w:left="1800" w:hanging="1080"/>
        <w:rPr>
          <w:i/>
        </w:rPr>
      </w:pPr>
      <w:r>
        <w:t>B.</w:t>
      </w:r>
      <w:r>
        <w:tab/>
      </w:r>
      <w:r w:rsidR="00E9171C">
        <w:rPr>
          <w:u w:val="single"/>
        </w:rPr>
        <w:t>Who</w:t>
      </w:r>
      <w:r w:rsidR="00545226">
        <w:t xml:space="preserve">: </w:t>
      </w:r>
      <w:r w:rsidR="00545226">
        <w:tab/>
      </w:r>
      <w:r w:rsidR="00435CC6" w:rsidRPr="00435CC6">
        <w:rPr>
          <w:i/>
        </w:rPr>
        <w:t>All of the students in the applicable courses will be evaluated.</w:t>
      </w:r>
    </w:p>
    <w:p w:rsidR="00E9171C" w:rsidRDefault="00E9171C" w:rsidP="00916A61">
      <w:pPr>
        <w:tabs>
          <w:tab w:val="left" w:pos="360"/>
          <w:tab w:val="left" w:pos="1080"/>
        </w:tabs>
        <w:ind w:left="720"/>
      </w:pPr>
    </w:p>
    <w:p w:rsidR="00DC2183" w:rsidRDefault="00DC2183" w:rsidP="00DC2183">
      <w:pPr>
        <w:tabs>
          <w:tab w:val="left" w:pos="360"/>
        </w:tabs>
        <w:ind w:left="720" w:hanging="360"/>
        <w:rPr>
          <w:b/>
        </w:rPr>
      </w:pPr>
      <w:r>
        <w:rPr>
          <w:b/>
        </w:rPr>
        <w:t>3</w:t>
      </w:r>
      <w:r w:rsidRPr="00010193">
        <w:rPr>
          <w:b/>
        </w:rPr>
        <w:t>.</w:t>
      </w:r>
      <w:r w:rsidRPr="00010193">
        <w:rPr>
          <w:b/>
        </w:rPr>
        <w:tab/>
      </w:r>
      <w:r>
        <w:rPr>
          <w:b/>
        </w:rPr>
        <w:t>When</w:t>
      </w:r>
      <w:r w:rsidRPr="00010193">
        <w:rPr>
          <w:b/>
        </w:rPr>
        <w:t xml:space="preserve"> will learning outcomes be assessed?</w:t>
      </w:r>
      <w:r>
        <w:rPr>
          <w:b/>
        </w:rPr>
        <w:t xml:space="preserve">  When and in what forum will the results of the assessment be discussed?</w:t>
      </w:r>
    </w:p>
    <w:p w:rsidR="00DC2183" w:rsidRDefault="00B176B9" w:rsidP="00B176B9">
      <w:pPr>
        <w:tabs>
          <w:tab w:val="left" w:pos="360"/>
        </w:tabs>
        <w:ind w:left="720" w:hanging="360"/>
        <w:rPr>
          <w:i/>
        </w:rPr>
      </w:pPr>
      <w:r>
        <w:rPr>
          <w:b/>
        </w:rPr>
        <w:tab/>
      </w:r>
      <w:r w:rsidR="00464275">
        <w:rPr>
          <w:i/>
        </w:rPr>
        <w:t xml:space="preserve">To meet the requirements of ACCE accreditation, all of the Construction Management related courses will be assessed by the applicable instructor at the end of the semester in which the course is being taught.  The forms must be submitted prior to the beginning of the following semester.  The data will be provided in the department’s </w:t>
      </w:r>
      <w:r w:rsidR="00464275" w:rsidRPr="00464275">
        <w:t xml:space="preserve">Outcome Assessment Report </w:t>
      </w:r>
      <w:r w:rsidR="00464275">
        <w:rPr>
          <w:i/>
        </w:rPr>
        <w:t>form to the Undergraduate Coordinator.  All information from the forms will entered into the UNM’s TK20 Assessment program.</w:t>
      </w:r>
      <w:r w:rsidR="00464275" w:rsidRPr="00464275">
        <w:t xml:space="preserve"> </w:t>
      </w:r>
      <w:r w:rsidR="00464275" w:rsidRPr="00464275">
        <w:rPr>
          <w:i/>
        </w:rPr>
        <w:t>The following chart depicts which courses will be taught in which seme</w:t>
      </w:r>
      <w:r w:rsidR="00464275">
        <w:rPr>
          <w:i/>
        </w:rPr>
        <w:t>ster for the next three years:</w:t>
      </w:r>
    </w:p>
    <w:tbl>
      <w:tblPr>
        <w:tblW w:w="0" w:type="auto"/>
        <w:jc w:val="center"/>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7"/>
        <w:gridCol w:w="770"/>
        <w:gridCol w:w="918"/>
        <w:gridCol w:w="595"/>
        <w:gridCol w:w="750"/>
        <w:gridCol w:w="918"/>
        <w:gridCol w:w="639"/>
        <w:gridCol w:w="769"/>
        <w:gridCol w:w="918"/>
        <w:gridCol w:w="576"/>
        <w:gridCol w:w="832"/>
        <w:gridCol w:w="918"/>
        <w:gridCol w:w="731"/>
      </w:tblGrid>
      <w:tr w:rsidR="002D2AF6" w:rsidRPr="00E02687" w:rsidTr="002D2AF6">
        <w:trPr>
          <w:jc w:val="center"/>
        </w:trPr>
        <w:tc>
          <w:tcPr>
            <w:tcW w:w="10281" w:type="dxa"/>
            <w:gridSpan w:val="13"/>
            <w:shd w:val="clear" w:color="auto" w:fill="auto"/>
          </w:tcPr>
          <w:p w:rsidR="002D2AF6" w:rsidRPr="00E02687" w:rsidRDefault="002D2AF6" w:rsidP="003758FB">
            <w:pPr>
              <w:jc w:val="center"/>
              <w:rPr>
                <w:b/>
              </w:rPr>
            </w:pPr>
            <w:r w:rsidRPr="00E02687">
              <w:rPr>
                <w:b/>
              </w:rPr>
              <w:t>Undergraduate Planned Course Offering</w:t>
            </w:r>
            <w:r>
              <w:rPr>
                <w:b/>
              </w:rPr>
              <w:t>s – Construction Management</w:t>
            </w:r>
          </w:p>
        </w:tc>
      </w:tr>
      <w:tr w:rsidR="002D2AF6" w:rsidRPr="00E02687" w:rsidTr="002D2AF6">
        <w:trPr>
          <w:jc w:val="center"/>
        </w:trPr>
        <w:tc>
          <w:tcPr>
            <w:tcW w:w="947" w:type="dxa"/>
            <w:shd w:val="clear" w:color="auto" w:fill="auto"/>
          </w:tcPr>
          <w:p w:rsidR="002D2AF6" w:rsidRPr="00E02687" w:rsidRDefault="002D2AF6" w:rsidP="003758FB">
            <w:pPr>
              <w:jc w:val="center"/>
              <w:rPr>
                <w:b/>
              </w:rPr>
            </w:pPr>
          </w:p>
        </w:tc>
        <w:tc>
          <w:tcPr>
            <w:tcW w:w="2283" w:type="dxa"/>
            <w:gridSpan w:val="3"/>
            <w:shd w:val="clear" w:color="auto" w:fill="auto"/>
          </w:tcPr>
          <w:p w:rsidR="002D2AF6" w:rsidRPr="00E02687" w:rsidRDefault="002D2AF6" w:rsidP="003758FB">
            <w:pPr>
              <w:jc w:val="center"/>
              <w:rPr>
                <w:b/>
              </w:rPr>
            </w:pPr>
            <w:r>
              <w:rPr>
                <w:b/>
              </w:rPr>
              <w:t>2014</w:t>
            </w:r>
          </w:p>
        </w:tc>
        <w:tc>
          <w:tcPr>
            <w:tcW w:w="2307" w:type="dxa"/>
            <w:gridSpan w:val="3"/>
            <w:shd w:val="clear" w:color="auto" w:fill="auto"/>
          </w:tcPr>
          <w:p w:rsidR="002D2AF6" w:rsidRPr="00E02687" w:rsidRDefault="002D2AF6" w:rsidP="003758FB">
            <w:pPr>
              <w:jc w:val="center"/>
              <w:rPr>
                <w:b/>
              </w:rPr>
            </w:pPr>
            <w:r>
              <w:rPr>
                <w:b/>
              </w:rPr>
              <w:t>2015</w:t>
            </w:r>
          </w:p>
        </w:tc>
        <w:tc>
          <w:tcPr>
            <w:tcW w:w="2263" w:type="dxa"/>
            <w:gridSpan w:val="3"/>
            <w:shd w:val="clear" w:color="auto" w:fill="auto"/>
          </w:tcPr>
          <w:p w:rsidR="002D2AF6" w:rsidRPr="00E02687" w:rsidRDefault="002D2AF6" w:rsidP="003758FB">
            <w:pPr>
              <w:jc w:val="center"/>
              <w:rPr>
                <w:b/>
              </w:rPr>
            </w:pPr>
            <w:r>
              <w:rPr>
                <w:b/>
              </w:rPr>
              <w:t>2016</w:t>
            </w:r>
          </w:p>
        </w:tc>
        <w:tc>
          <w:tcPr>
            <w:tcW w:w="2481" w:type="dxa"/>
            <w:gridSpan w:val="3"/>
            <w:shd w:val="clear" w:color="auto" w:fill="auto"/>
          </w:tcPr>
          <w:p w:rsidR="002D2AF6" w:rsidRPr="00E02687" w:rsidRDefault="002D2AF6" w:rsidP="003758FB">
            <w:pPr>
              <w:jc w:val="center"/>
              <w:rPr>
                <w:b/>
              </w:rPr>
            </w:pPr>
            <w:r>
              <w:rPr>
                <w:b/>
              </w:rPr>
              <w:t>2017</w:t>
            </w:r>
          </w:p>
        </w:tc>
      </w:tr>
      <w:tr w:rsidR="002D2AF6" w:rsidRPr="00E02687"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Course</w:t>
            </w:r>
          </w:p>
        </w:tc>
        <w:tc>
          <w:tcPr>
            <w:tcW w:w="770" w:type="dxa"/>
            <w:shd w:val="clear" w:color="auto" w:fill="auto"/>
          </w:tcPr>
          <w:p w:rsidR="002D2AF6" w:rsidRPr="00E02687" w:rsidRDefault="002D2AF6" w:rsidP="003758FB">
            <w:pPr>
              <w:rPr>
                <w:sz w:val="20"/>
                <w:szCs w:val="20"/>
              </w:rPr>
            </w:pPr>
            <w:r w:rsidRPr="00E02687">
              <w:rPr>
                <w:sz w:val="20"/>
                <w:szCs w:val="20"/>
              </w:rPr>
              <w:t xml:space="preserve">Spring </w:t>
            </w:r>
          </w:p>
        </w:tc>
        <w:tc>
          <w:tcPr>
            <w:tcW w:w="918" w:type="dxa"/>
            <w:shd w:val="clear" w:color="auto" w:fill="auto"/>
          </w:tcPr>
          <w:p w:rsidR="002D2AF6" w:rsidRPr="00E02687" w:rsidRDefault="002D2AF6" w:rsidP="003758FB">
            <w:pPr>
              <w:rPr>
                <w:sz w:val="20"/>
                <w:szCs w:val="20"/>
              </w:rPr>
            </w:pPr>
            <w:r w:rsidRPr="00E02687">
              <w:rPr>
                <w:sz w:val="20"/>
                <w:szCs w:val="20"/>
              </w:rPr>
              <w:t>Summer</w:t>
            </w:r>
          </w:p>
        </w:tc>
        <w:tc>
          <w:tcPr>
            <w:tcW w:w="595" w:type="dxa"/>
            <w:shd w:val="clear" w:color="auto" w:fill="auto"/>
          </w:tcPr>
          <w:p w:rsidR="002D2AF6" w:rsidRPr="00E02687" w:rsidRDefault="002D2AF6" w:rsidP="003758FB">
            <w:pPr>
              <w:rPr>
                <w:sz w:val="20"/>
                <w:szCs w:val="20"/>
              </w:rPr>
            </w:pPr>
            <w:r w:rsidRPr="00E02687">
              <w:rPr>
                <w:sz w:val="20"/>
                <w:szCs w:val="20"/>
              </w:rPr>
              <w:t>Fall</w:t>
            </w:r>
          </w:p>
        </w:tc>
        <w:tc>
          <w:tcPr>
            <w:tcW w:w="750" w:type="dxa"/>
            <w:shd w:val="clear" w:color="auto" w:fill="auto"/>
          </w:tcPr>
          <w:p w:rsidR="002D2AF6" w:rsidRPr="00E02687" w:rsidRDefault="002D2AF6" w:rsidP="003758FB">
            <w:pPr>
              <w:rPr>
                <w:sz w:val="20"/>
                <w:szCs w:val="20"/>
              </w:rPr>
            </w:pPr>
            <w:r w:rsidRPr="00E02687">
              <w:rPr>
                <w:sz w:val="20"/>
                <w:szCs w:val="20"/>
              </w:rPr>
              <w:t xml:space="preserve">Spring </w:t>
            </w:r>
          </w:p>
        </w:tc>
        <w:tc>
          <w:tcPr>
            <w:tcW w:w="918" w:type="dxa"/>
            <w:shd w:val="clear" w:color="auto" w:fill="auto"/>
          </w:tcPr>
          <w:p w:rsidR="002D2AF6" w:rsidRPr="00E02687" w:rsidRDefault="002D2AF6" w:rsidP="003758FB">
            <w:pPr>
              <w:rPr>
                <w:sz w:val="20"/>
                <w:szCs w:val="20"/>
              </w:rPr>
            </w:pPr>
            <w:r w:rsidRPr="00E02687">
              <w:rPr>
                <w:sz w:val="20"/>
                <w:szCs w:val="20"/>
              </w:rPr>
              <w:t>Summer</w:t>
            </w:r>
          </w:p>
        </w:tc>
        <w:tc>
          <w:tcPr>
            <w:tcW w:w="639" w:type="dxa"/>
            <w:shd w:val="clear" w:color="auto" w:fill="auto"/>
          </w:tcPr>
          <w:p w:rsidR="002D2AF6" w:rsidRPr="00E02687" w:rsidRDefault="002D2AF6" w:rsidP="003758FB">
            <w:pPr>
              <w:rPr>
                <w:sz w:val="20"/>
                <w:szCs w:val="20"/>
              </w:rPr>
            </w:pPr>
            <w:r w:rsidRPr="00E02687">
              <w:rPr>
                <w:sz w:val="20"/>
                <w:szCs w:val="20"/>
              </w:rPr>
              <w:t>Fall</w:t>
            </w:r>
          </w:p>
        </w:tc>
        <w:tc>
          <w:tcPr>
            <w:tcW w:w="769" w:type="dxa"/>
            <w:shd w:val="clear" w:color="auto" w:fill="auto"/>
          </w:tcPr>
          <w:p w:rsidR="002D2AF6" w:rsidRPr="00E02687" w:rsidRDefault="002D2AF6" w:rsidP="003758FB">
            <w:pPr>
              <w:rPr>
                <w:sz w:val="20"/>
                <w:szCs w:val="20"/>
              </w:rPr>
            </w:pPr>
            <w:r w:rsidRPr="00E02687">
              <w:rPr>
                <w:sz w:val="20"/>
                <w:szCs w:val="20"/>
              </w:rPr>
              <w:t>Spring</w:t>
            </w:r>
          </w:p>
        </w:tc>
        <w:tc>
          <w:tcPr>
            <w:tcW w:w="918" w:type="dxa"/>
            <w:shd w:val="clear" w:color="auto" w:fill="auto"/>
          </w:tcPr>
          <w:p w:rsidR="002D2AF6" w:rsidRPr="00E02687" w:rsidRDefault="002D2AF6" w:rsidP="003758FB">
            <w:pPr>
              <w:rPr>
                <w:sz w:val="20"/>
                <w:szCs w:val="20"/>
              </w:rPr>
            </w:pPr>
            <w:r w:rsidRPr="00E02687">
              <w:rPr>
                <w:sz w:val="20"/>
                <w:szCs w:val="20"/>
              </w:rPr>
              <w:t>Summer</w:t>
            </w:r>
          </w:p>
        </w:tc>
        <w:tc>
          <w:tcPr>
            <w:tcW w:w="576" w:type="dxa"/>
            <w:shd w:val="clear" w:color="auto" w:fill="auto"/>
          </w:tcPr>
          <w:p w:rsidR="002D2AF6" w:rsidRPr="00E02687" w:rsidRDefault="002D2AF6" w:rsidP="003758FB">
            <w:pPr>
              <w:rPr>
                <w:sz w:val="20"/>
                <w:szCs w:val="20"/>
              </w:rPr>
            </w:pPr>
            <w:r w:rsidRPr="00E02687">
              <w:rPr>
                <w:sz w:val="20"/>
                <w:szCs w:val="20"/>
              </w:rPr>
              <w:t>Fall</w:t>
            </w:r>
          </w:p>
        </w:tc>
        <w:tc>
          <w:tcPr>
            <w:tcW w:w="832" w:type="dxa"/>
            <w:shd w:val="clear" w:color="auto" w:fill="auto"/>
          </w:tcPr>
          <w:p w:rsidR="002D2AF6" w:rsidRPr="00E02687" w:rsidRDefault="002D2AF6" w:rsidP="003758FB">
            <w:pPr>
              <w:rPr>
                <w:sz w:val="20"/>
                <w:szCs w:val="20"/>
              </w:rPr>
            </w:pPr>
            <w:r w:rsidRPr="00E02687">
              <w:rPr>
                <w:sz w:val="20"/>
                <w:szCs w:val="20"/>
              </w:rPr>
              <w:t xml:space="preserve">Spring </w:t>
            </w:r>
          </w:p>
        </w:tc>
        <w:tc>
          <w:tcPr>
            <w:tcW w:w="918" w:type="dxa"/>
            <w:shd w:val="clear" w:color="auto" w:fill="auto"/>
          </w:tcPr>
          <w:p w:rsidR="002D2AF6" w:rsidRPr="00E02687" w:rsidRDefault="002D2AF6" w:rsidP="003758FB">
            <w:pPr>
              <w:rPr>
                <w:sz w:val="20"/>
                <w:szCs w:val="20"/>
              </w:rPr>
            </w:pPr>
            <w:r w:rsidRPr="00E02687">
              <w:rPr>
                <w:sz w:val="20"/>
                <w:szCs w:val="20"/>
              </w:rPr>
              <w:t>Summer</w:t>
            </w:r>
          </w:p>
        </w:tc>
        <w:tc>
          <w:tcPr>
            <w:tcW w:w="731" w:type="dxa"/>
            <w:shd w:val="clear" w:color="auto" w:fill="auto"/>
          </w:tcPr>
          <w:p w:rsidR="002D2AF6" w:rsidRPr="00E02687" w:rsidRDefault="002D2AF6" w:rsidP="003758FB">
            <w:pPr>
              <w:rPr>
                <w:sz w:val="20"/>
                <w:szCs w:val="20"/>
              </w:rPr>
            </w:pPr>
            <w:r w:rsidRPr="00E02687">
              <w:rPr>
                <w:sz w:val="20"/>
                <w:szCs w:val="20"/>
              </w:rPr>
              <w:t>Fall</w:t>
            </w: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130</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160</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numPr>
                <w:ilvl w:val="0"/>
                <w:numId w:val="9"/>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171</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3758FB">
            <w:pPr>
              <w:ind w:left="216"/>
            </w:pPr>
          </w:p>
        </w:tc>
        <w:tc>
          <w:tcPr>
            <w:tcW w:w="918" w:type="dxa"/>
            <w:shd w:val="clear" w:color="auto" w:fill="auto"/>
          </w:tcPr>
          <w:p w:rsidR="002D2AF6" w:rsidRPr="00E02687" w:rsidRDefault="002D2AF6" w:rsidP="003758FB">
            <w:pPr>
              <w:rPr>
                <w:sz w:val="20"/>
                <w:szCs w:val="20"/>
              </w:rPr>
            </w:pPr>
          </w:p>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3758FB">
            <w:pPr>
              <w:ind w:left="216"/>
            </w:pPr>
          </w:p>
        </w:tc>
        <w:tc>
          <w:tcPr>
            <w:tcW w:w="918" w:type="dxa"/>
            <w:shd w:val="clear" w:color="auto" w:fill="auto"/>
          </w:tcPr>
          <w:p w:rsidR="002D2AF6" w:rsidRPr="00E02687" w:rsidRDefault="002D2AF6" w:rsidP="003758FB">
            <w:pPr>
              <w:rPr>
                <w:i/>
                <w:sz w:val="20"/>
                <w:szCs w:val="20"/>
              </w:rPr>
            </w:pPr>
          </w:p>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279</w:t>
            </w:r>
          </w:p>
        </w:tc>
        <w:tc>
          <w:tcPr>
            <w:tcW w:w="77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7"/>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7"/>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283</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305</w:t>
            </w:r>
          </w:p>
        </w:tc>
        <w:tc>
          <w:tcPr>
            <w:tcW w:w="77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350</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numPr>
                <w:ilvl w:val="0"/>
                <w:numId w:val="9"/>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370</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371</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376</w:t>
            </w:r>
          </w:p>
        </w:tc>
        <w:tc>
          <w:tcPr>
            <w:tcW w:w="770" w:type="dxa"/>
            <w:shd w:val="clear" w:color="auto" w:fill="auto"/>
          </w:tcPr>
          <w:p w:rsidR="002D2AF6" w:rsidRDefault="002D2AF6" w:rsidP="003758FB"/>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377</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409</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numPr>
                <w:ilvl w:val="0"/>
                <w:numId w:val="9"/>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455</w:t>
            </w:r>
          </w:p>
        </w:tc>
        <w:tc>
          <w:tcPr>
            <w:tcW w:w="770" w:type="dxa"/>
            <w:shd w:val="clear" w:color="auto" w:fill="auto"/>
          </w:tcPr>
          <w:p w:rsidR="002D2AF6" w:rsidRDefault="002D2AF6" w:rsidP="003758FB"/>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473</w:t>
            </w:r>
            <w:r w:rsidRPr="00E02687">
              <w:rPr>
                <w:i/>
                <w:sz w:val="20"/>
                <w:szCs w:val="20"/>
                <w:vertAlign w:val="superscript"/>
              </w:rPr>
              <w:t>c</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i/>
                <w:sz w:val="20"/>
                <w:szCs w:val="20"/>
                <w:vertAlign w:val="superscript"/>
              </w:rPr>
            </w:pPr>
            <w:r w:rsidRPr="00E02687">
              <w:rPr>
                <w:sz w:val="20"/>
                <w:szCs w:val="20"/>
              </w:rPr>
              <w:t>CE 474</w:t>
            </w:r>
            <w:r w:rsidRPr="00E02687">
              <w:rPr>
                <w:i/>
                <w:sz w:val="20"/>
                <w:szCs w:val="20"/>
              </w:rPr>
              <w:t>c</w:t>
            </w:r>
          </w:p>
        </w:tc>
        <w:tc>
          <w:tcPr>
            <w:tcW w:w="770" w:type="dxa"/>
            <w:shd w:val="clear" w:color="auto" w:fill="auto"/>
          </w:tcPr>
          <w:p w:rsidR="002D2AF6" w:rsidRDefault="002D2AF6" w:rsidP="003758FB"/>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475</w:t>
            </w:r>
            <w:r w:rsidRPr="00E02687">
              <w:rPr>
                <w:i/>
                <w:sz w:val="20"/>
                <w:szCs w:val="20"/>
                <w:vertAlign w:val="superscript"/>
              </w:rPr>
              <w:t>c</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3758FB">
            <w:pPr>
              <w:ind w:left="144"/>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ind w:left="72"/>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3758FB"/>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3758FB"/>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477</w:t>
            </w:r>
          </w:p>
        </w:tc>
        <w:tc>
          <w:tcPr>
            <w:tcW w:w="770" w:type="dxa"/>
            <w:shd w:val="clear" w:color="auto" w:fill="auto"/>
          </w:tcPr>
          <w:p w:rsidR="002D2AF6" w:rsidRDefault="002D2AF6" w:rsidP="003758FB"/>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478</w:t>
            </w:r>
          </w:p>
        </w:tc>
        <w:tc>
          <w:tcPr>
            <w:tcW w:w="770" w:type="dxa"/>
            <w:shd w:val="clear" w:color="auto" w:fill="auto"/>
          </w:tcPr>
          <w:p w:rsidR="002D2AF6" w:rsidRDefault="002D2AF6" w:rsidP="003758FB"/>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639" w:type="dxa"/>
            <w:shd w:val="clear" w:color="auto" w:fill="auto"/>
          </w:tcPr>
          <w:p w:rsidR="002D2AF6" w:rsidRDefault="002D2AF6" w:rsidP="002D2AF6">
            <w:pPr>
              <w:numPr>
                <w:ilvl w:val="0"/>
                <w:numId w:val="10"/>
              </w:numPr>
            </w:pPr>
          </w:p>
        </w:tc>
        <w:tc>
          <w:tcPr>
            <w:tcW w:w="769"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3758FB">
            <w:pPr>
              <w:ind w:left="216"/>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495</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2D2AF6">
            <w:pPr>
              <w:numPr>
                <w:ilvl w:val="1"/>
                <w:numId w:val="11"/>
              </w:numPr>
            </w:pPr>
          </w:p>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2D2AF6">
            <w:pPr>
              <w:numPr>
                <w:ilvl w:val="1"/>
                <w:numId w:val="11"/>
              </w:numPr>
            </w:pPr>
          </w:p>
        </w:tc>
        <w:tc>
          <w:tcPr>
            <w:tcW w:w="639" w:type="dxa"/>
            <w:shd w:val="clear" w:color="auto" w:fill="auto"/>
          </w:tcPr>
          <w:p w:rsidR="002D2AF6" w:rsidRDefault="002D2AF6" w:rsidP="003758FB">
            <w:pPr>
              <w:numPr>
                <w:ilvl w:val="0"/>
                <w:numId w:val="9"/>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2D2AF6">
            <w:pPr>
              <w:numPr>
                <w:ilvl w:val="1"/>
                <w:numId w:val="11"/>
              </w:numPr>
            </w:pPr>
          </w:p>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2D2AF6">
            <w:pPr>
              <w:numPr>
                <w:ilvl w:val="1"/>
                <w:numId w:val="11"/>
              </w:numPr>
            </w:pPr>
          </w:p>
        </w:tc>
        <w:tc>
          <w:tcPr>
            <w:tcW w:w="731" w:type="dxa"/>
            <w:shd w:val="clear" w:color="auto" w:fill="auto"/>
          </w:tcPr>
          <w:p w:rsidR="002D2AF6" w:rsidRDefault="002D2AF6" w:rsidP="002D2AF6">
            <w:pPr>
              <w:numPr>
                <w:ilvl w:val="0"/>
                <w:numId w:val="6"/>
              </w:numPr>
            </w:pPr>
          </w:p>
        </w:tc>
      </w:tr>
      <w:tr w:rsidR="002D2AF6" w:rsidTr="002D2AF6">
        <w:trPr>
          <w:jc w:val="center"/>
        </w:trPr>
        <w:tc>
          <w:tcPr>
            <w:tcW w:w="947" w:type="dxa"/>
            <w:shd w:val="clear" w:color="auto" w:fill="auto"/>
          </w:tcPr>
          <w:p w:rsidR="002D2AF6" w:rsidRPr="00E02687" w:rsidRDefault="002D2AF6" w:rsidP="003758FB">
            <w:pPr>
              <w:rPr>
                <w:sz w:val="20"/>
                <w:szCs w:val="20"/>
              </w:rPr>
            </w:pPr>
            <w:r w:rsidRPr="00E02687">
              <w:rPr>
                <w:sz w:val="20"/>
                <w:szCs w:val="20"/>
              </w:rPr>
              <w:t>CE 497</w:t>
            </w:r>
          </w:p>
        </w:tc>
        <w:tc>
          <w:tcPr>
            <w:tcW w:w="77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95" w:type="dxa"/>
            <w:shd w:val="clear" w:color="auto" w:fill="auto"/>
          </w:tcPr>
          <w:p w:rsidR="002D2AF6" w:rsidRDefault="002D2AF6" w:rsidP="002D2AF6">
            <w:pPr>
              <w:numPr>
                <w:ilvl w:val="0"/>
                <w:numId w:val="8"/>
              </w:numPr>
            </w:pPr>
          </w:p>
        </w:tc>
        <w:tc>
          <w:tcPr>
            <w:tcW w:w="750"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639" w:type="dxa"/>
            <w:shd w:val="clear" w:color="auto" w:fill="auto"/>
          </w:tcPr>
          <w:p w:rsidR="002D2AF6" w:rsidRDefault="002D2AF6" w:rsidP="003758FB">
            <w:pPr>
              <w:numPr>
                <w:ilvl w:val="0"/>
                <w:numId w:val="9"/>
              </w:numPr>
            </w:pPr>
          </w:p>
        </w:tc>
        <w:tc>
          <w:tcPr>
            <w:tcW w:w="769"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576" w:type="dxa"/>
            <w:shd w:val="clear" w:color="auto" w:fill="auto"/>
          </w:tcPr>
          <w:p w:rsidR="002D2AF6" w:rsidRDefault="002D2AF6" w:rsidP="002D2AF6">
            <w:pPr>
              <w:numPr>
                <w:ilvl w:val="0"/>
                <w:numId w:val="6"/>
              </w:numPr>
            </w:pPr>
          </w:p>
        </w:tc>
        <w:tc>
          <w:tcPr>
            <w:tcW w:w="832" w:type="dxa"/>
            <w:shd w:val="clear" w:color="auto" w:fill="auto"/>
          </w:tcPr>
          <w:p w:rsidR="002D2AF6" w:rsidRDefault="002D2AF6" w:rsidP="002D2AF6">
            <w:pPr>
              <w:numPr>
                <w:ilvl w:val="0"/>
                <w:numId w:val="7"/>
              </w:numPr>
            </w:pPr>
          </w:p>
        </w:tc>
        <w:tc>
          <w:tcPr>
            <w:tcW w:w="918" w:type="dxa"/>
            <w:shd w:val="clear" w:color="auto" w:fill="auto"/>
          </w:tcPr>
          <w:p w:rsidR="002D2AF6" w:rsidRDefault="002D2AF6" w:rsidP="003758FB"/>
        </w:tc>
        <w:tc>
          <w:tcPr>
            <w:tcW w:w="731" w:type="dxa"/>
            <w:shd w:val="clear" w:color="auto" w:fill="auto"/>
          </w:tcPr>
          <w:p w:rsidR="002D2AF6" w:rsidRDefault="002D2AF6" w:rsidP="002D2AF6">
            <w:pPr>
              <w:numPr>
                <w:ilvl w:val="0"/>
                <w:numId w:val="6"/>
              </w:numPr>
            </w:pPr>
          </w:p>
        </w:tc>
      </w:tr>
    </w:tbl>
    <w:p w:rsidR="002D2AF6" w:rsidRDefault="002D2AF6" w:rsidP="00B176B9">
      <w:pPr>
        <w:tabs>
          <w:tab w:val="left" w:pos="360"/>
        </w:tabs>
        <w:ind w:left="720" w:hanging="360"/>
        <w:rPr>
          <w:i/>
        </w:rPr>
      </w:pPr>
    </w:p>
    <w:p w:rsidR="00464275" w:rsidRPr="00464275" w:rsidRDefault="00464275" w:rsidP="00B176B9">
      <w:pPr>
        <w:tabs>
          <w:tab w:val="left" w:pos="360"/>
        </w:tabs>
        <w:ind w:left="720" w:hanging="360"/>
        <w:rPr>
          <w:i/>
        </w:rPr>
      </w:pPr>
    </w:p>
    <w:p w:rsidR="003936D8" w:rsidRDefault="003936D8" w:rsidP="00B176B9">
      <w:pPr>
        <w:tabs>
          <w:tab w:val="left" w:pos="360"/>
        </w:tabs>
        <w:ind w:left="720" w:hanging="360"/>
        <w:rPr>
          <w:i/>
        </w:rPr>
      </w:pPr>
    </w:p>
    <w:p w:rsidR="00F25F90" w:rsidRDefault="00F25F90" w:rsidP="00F25F90">
      <w:pPr>
        <w:tabs>
          <w:tab w:val="left" w:pos="360"/>
          <w:tab w:val="left" w:pos="1080"/>
        </w:tabs>
        <w:ind w:left="1440" w:hanging="360"/>
        <w:rPr>
          <w:i/>
        </w:rPr>
        <w:sectPr w:rsidR="00F25F90" w:rsidSect="00112F26">
          <w:footerReference w:type="default" r:id="rId8"/>
          <w:pgSz w:w="12240" w:h="15840"/>
          <w:pgMar w:top="1440" w:right="1080" w:bottom="1260" w:left="1440" w:header="720" w:footer="570" w:gutter="0"/>
          <w:cols w:space="720"/>
          <w:docGrid w:linePitch="360"/>
        </w:sectPr>
      </w:pPr>
    </w:p>
    <w:p w:rsidR="003936D8" w:rsidRDefault="003936D8" w:rsidP="00B176B9">
      <w:pPr>
        <w:tabs>
          <w:tab w:val="left" w:pos="360"/>
        </w:tabs>
        <w:ind w:left="720" w:hanging="360"/>
        <w:rPr>
          <w:b/>
        </w:rPr>
      </w:pPr>
      <w:r w:rsidRPr="00D05D95">
        <w:rPr>
          <w:b/>
        </w:rPr>
        <w:lastRenderedPageBreak/>
        <w:t>4.</w:t>
      </w:r>
      <w:r w:rsidRPr="00D05D95">
        <w:rPr>
          <w:b/>
        </w:rPr>
        <w:tab/>
      </w:r>
      <w:r w:rsidR="00D05D95">
        <w:rPr>
          <w:b/>
        </w:rPr>
        <w:t xml:space="preserve">What is the unit’s process to </w:t>
      </w:r>
      <w:r w:rsidR="00104804">
        <w:rPr>
          <w:b/>
        </w:rPr>
        <w:t>a</w:t>
      </w:r>
      <w:r w:rsidR="00D05D95">
        <w:rPr>
          <w:b/>
        </w:rPr>
        <w:t>nalyze/</w:t>
      </w:r>
      <w:r w:rsidR="00104804">
        <w:rPr>
          <w:b/>
        </w:rPr>
        <w:t>i</w:t>
      </w:r>
      <w:r w:rsidR="00D05D95">
        <w:rPr>
          <w:b/>
        </w:rPr>
        <w:t xml:space="preserve">nterpret assessment data and use results to improve student learning?  </w:t>
      </w:r>
    </w:p>
    <w:p w:rsidR="00D05D95" w:rsidRDefault="00104804" w:rsidP="00B176B9">
      <w:pPr>
        <w:tabs>
          <w:tab w:val="left" w:pos="360"/>
        </w:tabs>
        <w:ind w:left="720" w:hanging="360"/>
        <w:rPr>
          <w:i/>
        </w:rPr>
      </w:pPr>
      <w:r>
        <w:rPr>
          <w:b/>
        </w:rPr>
        <w:tab/>
      </w:r>
      <w:r>
        <w:rPr>
          <w:i/>
        </w:rPr>
        <w:t>Briefly describe:</w:t>
      </w:r>
    </w:p>
    <w:p w:rsidR="008C2476" w:rsidRPr="008C2476" w:rsidRDefault="008C2476" w:rsidP="008C2476">
      <w:pPr>
        <w:pStyle w:val="ListParagraph"/>
        <w:numPr>
          <w:ilvl w:val="0"/>
          <w:numId w:val="19"/>
        </w:numPr>
        <w:tabs>
          <w:tab w:val="left" w:pos="360"/>
          <w:tab w:val="left" w:pos="1080"/>
        </w:tabs>
        <w:rPr>
          <w:i/>
        </w:rPr>
      </w:pPr>
      <w:r w:rsidRPr="008C2476">
        <w:rPr>
          <w:i/>
        </w:rPr>
        <w:t>The assessment process will involve the following individuals:</w:t>
      </w:r>
    </w:p>
    <w:p w:rsidR="008C2476" w:rsidRDefault="008C2476" w:rsidP="008C2476">
      <w:pPr>
        <w:pStyle w:val="ListParagraph"/>
        <w:numPr>
          <w:ilvl w:val="1"/>
          <w:numId w:val="19"/>
        </w:numPr>
        <w:tabs>
          <w:tab w:val="left" w:pos="360"/>
          <w:tab w:val="left" w:pos="1080"/>
        </w:tabs>
        <w:rPr>
          <w:i/>
        </w:rPr>
      </w:pPr>
      <w:r>
        <w:rPr>
          <w:i/>
        </w:rPr>
        <w:t>The course instructor will be responsible for collecting</w:t>
      </w:r>
      <w:r w:rsidR="002C6185">
        <w:rPr>
          <w:i/>
        </w:rPr>
        <w:t xml:space="preserve"> the data and performing a self-</w:t>
      </w:r>
      <w:r>
        <w:rPr>
          <w:i/>
        </w:rPr>
        <w:t>assessment of the education process</w:t>
      </w:r>
    </w:p>
    <w:p w:rsidR="008C2476" w:rsidRDefault="008C2476" w:rsidP="008C2476">
      <w:pPr>
        <w:pStyle w:val="ListParagraph"/>
        <w:numPr>
          <w:ilvl w:val="1"/>
          <w:numId w:val="19"/>
        </w:numPr>
        <w:tabs>
          <w:tab w:val="left" w:pos="360"/>
          <w:tab w:val="left" w:pos="1080"/>
        </w:tabs>
        <w:rPr>
          <w:i/>
        </w:rPr>
      </w:pPr>
      <w:r>
        <w:rPr>
          <w:i/>
        </w:rPr>
        <w:t xml:space="preserve">The Undergraduate </w:t>
      </w:r>
      <w:r w:rsidR="002C6185">
        <w:rPr>
          <w:i/>
        </w:rPr>
        <w:t>Coordinator</w:t>
      </w:r>
      <w:r>
        <w:rPr>
          <w:i/>
        </w:rPr>
        <w:t xml:space="preserve"> will be responsible for collecting the data from all of the instructors and entering the data into the TK20 program.  The compiled results from the TK20 program will be provided to the program administrator and the Undergraduate Committee</w:t>
      </w:r>
    </w:p>
    <w:p w:rsidR="008C2476" w:rsidRDefault="008C2476" w:rsidP="008C2476">
      <w:pPr>
        <w:pStyle w:val="ListParagraph"/>
        <w:numPr>
          <w:ilvl w:val="1"/>
          <w:numId w:val="19"/>
        </w:numPr>
        <w:tabs>
          <w:tab w:val="left" w:pos="360"/>
          <w:tab w:val="left" w:pos="1080"/>
        </w:tabs>
        <w:rPr>
          <w:i/>
        </w:rPr>
      </w:pPr>
      <w:r>
        <w:rPr>
          <w:i/>
        </w:rPr>
        <w:t>The Undergraduate Committee will be responsible for reviewing the results from the TK20 program and preparing a summary for the Civil Engineering Faculty, the Department Chair, and the Advisory Council.</w:t>
      </w:r>
    </w:p>
    <w:p w:rsidR="008C2476" w:rsidRDefault="008C2476" w:rsidP="008C2476">
      <w:pPr>
        <w:pStyle w:val="ListParagraph"/>
        <w:numPr>
          <w:ilvl w:val="1"/>
          <w:numId w:val="19"/>
        </w:numPr>
        <w:tabs>
          <w:tab w:val="left" w:pos="360"/>
          <w:tab w:val="left" w:pos="1080"/>
        </w:tabs>
        <w:rPr>
          <w:i/>
        </w:rPr>
      </w:pPr>
      <w:r>
        <w:rPr>
          <w:i/>
        </w:rPr>
        <w:t>The Civil Engineering Faculty will make recommendations for improvements and changes to the curriculum relative to the results of the TK20 program.</w:t>
      </w:r>
    </w:p>
    <w:p w:rsidR="008C2476" w:rsidRDefault="008C2476" w:rsidP="008C2476">
      <w:pPr>
        <w:pStyle w:val="ListParagraph"/>
        <w:numPr>
          <w:ilvl w:val="1"/>
          <w:numId w:val="19"/>
        </w:numPr>
        <w:tabs>
          <w:tab w:val="left" w:pos="360"/>
          <w:tab w:val="left" w:pos="1080"/>
        </w:tabs>
        <w:rPr>
          <w:i/>
        </w:rPr>
      </w:pPr>
      <w:r>
        <w:rPr>
          <w:i/>
        </w:rPr>
        <w:t>The Department Chair will provide oversight on the process and provide feedback to the School of Engineering Dean.</w:t>
      </w:r>
    </w:p>
    <w:p w:rsidR="00104804" w:rsidRPr="008C2476" w:rsidRDefault="008C2476" w:rsidP="008C2476">
      <w:pPr>
        <w:pStyle w:val="ListParagraph"/>
        <w:numPr>
          <w:ilvl w:val="1"/>
          <w:numId w:val="19"/>
        </w:numPr>
        <w:tabs>
          <w:tab w:val="left" w:pos="360"/>
          <w:tab w:val="left" w:pos="1080"/>
        </w:tabs>
        <w:rPr>
          <w:i/>
        </w:rPr>
      </w:pPr>
      <w:r>
        <w:rPr>
          <w:i/>
        </w:rPr>
        <w:t>The Advisory Council will review the data and provide recommendations relative to the current needs of the industry.</w:t>
      </w:r>
      <w:r w:rsidR="004E0A03" w:rsidRPr="008C2476">
        <w:rPr>
          <w:i/>
        </w:rPr>
        <w:t xml:space="preserve"> </w:t>
      </w:r>
    </w:p>
    <w:p w:rsidR="004E0A03" w:rsidRDefault="004E0A03" w:rsidP="00104804">
      <w:pPr>
        <w:tabs>
          <w:tab w:val="left" w:pos="360"/>
          <w:tab w:val="left" w:pos="1080"/>
        </w:tabs>
        <w:ind w:left="1440" w:hanging="360"/>
        <w:rPr>
          <w:i/>
        </w:rPr>
      </w:pPr>
      <w:r>
        <w:rPr>
          <w:i/>
        </w:rPr>
        <w:t>2.</w:t>
      </w:r>
      <w:r>
        <w:rPr>
          <w:i/>
        </w:rPr>
        <w:tab/>
      </w:r>
      <w:r w:rsidR="002C6185">
        <w:rPr>
          <w:i/>
        </w:rPr>
        <w:t>T</w:t>
      </w:r>
      <w:r w:rsidR="00A35037">
        <w:rPr>
          <w:i/>
        </w:rPr>
        <w:t xml:space="preserve">he process for consideration of the implications of assessment for change: </w:t>
      </w:r>
    </w:p>
    <w:p w:rsidR="00A35037" w:rsidRDefault="002C6185" w:rsidP="00A35037">
      <w:pPr>
        <w:tabs>
          <w:tab w:val="left" w:pos="360"/>
          <w:tab w:val="left" w:pos="1080"/>
        </w:tabs>
        <w:ind w:left="1800" w:hanging="360"/>
        <w:rPr>
          <w:i/>
        </w:rPr>
      </w:pPr>
      <w:r>
        <w:rPr>
          <w:i/>
        </w:rPr>
        <w:t>a. The results of the TK20 program and the findings from the instructors will be evaluated based on the goal of 80% of the students meeting or exceeding the expectations.  Additionally, the input from the Advisory Councils and the Faculty will be considered to determine if there are new trends or material that should be included with the courses.</w:t>
      </w:r>
    </w:p>
    <w:p w:rsidR="00A35037" w:rsidRDefault="002C6185" w:rsidP="00A35037">
      <w:pPr>
        <w:tabs>
          <w:tab w:val="left" w:pos="360"/>
          <w:tab w:val="left" w:pos="1080"/>
        </w:tabs>
        <w:ind w:left="1800" w:hanging="360"/>
        <w:rPr>
          <w:i/>
        </w:rPr>
      </w:pPr>
      <w:r>
        <w:rPr>
          <w:i/>
        </w:rPr>
        <w:t>b. The findings from the TK20 program and the recommendations from the applicable committees will be provided to the course instructors for updating course material and revising syllabi and teaching methods.</w:t>
      </w:r>
      <w:r w:rsidR="00550AE3">
        <w:rPr>
          <w:i/>
        </w:rPr>
        <w:t xml:space="preserve">  All potential changes will be proposed to the Undergraduate Committee to ensure that no conflicts occur between classes and that the minimum requirements for ACCE and ABET accreditation are upheld.</w:t>
      </w:r>
    </w:p>
    <w:p w:rsidR="00B15775" w:rsidRDefault="002C6185" w:rsidP="00A35037">
      <w:pPr>
        <w:tabs>
          <w:tab w:val="left" w:pos="360"/>
          <w:tab w:val="left" w:pos="1080"/>
        </w:tabs>
        <w:ind w:left="1800" w:hanging="360"/>
        <w:rPr>
          <w:i/>
        </w:rPr>
      </w:pPr>
      <w:r>
        <w:rPr>
          <w:i/>
        </w:rPr>
        <w:t xml:space="preserve">c. </w:t>
      </w:r>
      <w:r w:rsidR="00550AE3">
        <w:rPr>
          <w:i/>
        </w:rPr>
        <w:t xml:space="preserve">Overall, the process will be evaluated by all applicable stake holders to ensure that the changes are </w:t>
      </w:r>
      <w:r>
        <w:rPr>
          <w:i/>
        </w:rPr>
        <w:t>i</w:t>
      </w:r>
      <w:r w:rsidR="00B15775">
        <w:rPr>
          <w:i/>
        </w:rPr>
        <w:t>n the interest of improving student learning.</w:t>
      </w:r>
    </w:p>
    <w:p w:rsidR="002B4ED6" w:rsidRDefault="00B15775" w:rsidP="00B15775">
      <w:pPr>
        <w:tabs>
          <w:tab w:val="left" w:pos="360"/>
          <w:tab w:val="left" w:pos="1080"/>
        </w:tabs>
        <w:ind w:left="1440" w:hanging="360"/>
        <w:rPr>
          <w:i/>
        </w:rPr>
      </w:pPr>
      <w:r>
        <w:rPr>
          <w:i/>
        </w:rPr>
        <w:t xml:space="preserve">3. </w:t>
      </w:r>
      <w:r w:rsidR="00550AE3">
        <w:rPr>
          <w:i/>
        </w:rPr>
        <w:t xml:space="preserve">Recommendations will be communicated at the end of each review to the Undergraduate Committee </w:t>
      </w:r>
      <w:r w:rsidR="00270873">
        <w:rPr>
          <w:i/>
        </w:rPr>
        <w:t xml:space="preserve">as either meeting minutes or direct communication </w:t>
      </w:r>
      <w:r w:rsidR="00550AE3">
        <w:rPr>
          <w:i/>
        </w:rPr>
        <w:t>and then distributed to the next reviewing authority.  The following chart provides a summary of the review process</w:t>
      </w:r>
      <w:r w:rsidR="00270873">
        <w:rPr>
          <w:i/>
        </w:rPr>
        <w:t>.  Upon final acceptance of the recommended changes, the instructors will implement their applicable changes and the Undergraduate Coordinator will initiate the applicable forms to request curriculum or catalog changes.</w:t>
      </w:r>
    </w:p>
    <w:p w:rsidR="00D44A5F" w:rsidRDefault="00D44A5F">
      <w:pPr>
        <w:rPr>
          <w:i/>
        </w:rPr>
      </w:pPr>
      <w:r>
        <w:rPr>
          <w:i/>
        </w:rPr>
        <w:br w:type="page"/>
      </w:r>
    </w:p>
    <w:p w:rsidR="00D44A5F" w:rsidRPr="00D44A5F" w:rsidRDefault="00D44A5F" w:rsidP="00D44A5F">
      <w:pPr>
        <w:tabs>
          <w:tab w:val="left" w:pos="360"/>
          <w:tab w:val="left" w:pos="1080"/>
        </w:tabs>
        <w:ind w:left="1440" w:hanging="360"/>
        <w:rPr>
          <w:b/>
        </w:rPr>
      </w:pPr>
      <w:r w:rsidRPr="00D44A5F">
        <w:rPr>
          <w:b/>
        </w:rPr>
        <w:lastRenderedPageBreak/>
        <w:t>Degree-Program Assessment Cycle</w:t>
      </w:r>
    </w:p>
    <w:p w:rsidR="00D44A5F" w:rsidRPr="00D44A5F" w:rsidRDefault="00D44A5F" w:rsidP="00D44A5F">
      <w:pPr>
        <w:tabs>
          <w:tab w:val="left" w:pos="360"/>
          <w:tab w:val="left" w:pos="1080"/>
        </w:tabs>
        <w:ind w:left="1440" w:hanging="360"/>
        <w:rPr>
          <w:i/>
        </w:rPr>
      </w:pPr>
    </w:p>
    <w:p w:rsidR="00D44A5F" w:rsidRPr="003906C7" w:rsidRDefault="00D44A5F" w:rsidP="00D44A5F">
      <w:pPr>
        <w:pStyle w:val="ListParagraph"/>
        <w:numPr>
          <w:ilvl w:val="0"/>
          <w:numId w:val="20"/>
        </w:numPr>
        <w:tabs>
          <w:tab w:val="left" w:pos="360"/>
          <w:tab w:val="left" w:pos="1080"/>
        </w:tabs>
      </w:pPr>
      <w:r w:rsidRPr="003906C7">
        <w:t>Construction Management,</w:t>
      </w:r>
      <w:r w:rsidRPr="003906C7">
        <w:t xml:space="preserve"> October 1: Submit Annual Progress Reports on assessment activities for the preceding academic year (Jun 1—May 31)</w:t>
      </w:r>
    </w:p>
    <w:p w:rsidR="003906C7" w:rsidRDefault="003906C7" w:rsidP="003906C7">
      <w:pPr>
        <w:pStyle w:val="ListParagraph"/>
        <w:tabs>
          <w:tab w:val="left" w:pos="360"/>
          <w:tab w:val="left" w:pos="1080"/>
        </w:tabs>
        <w:ind w:left="1440"/>
        <w:rPr>
          <w:i/>
        </w:rPr>
      </w:pPr>
      <w:r w:rsidRPr="003906C7">
        <w:rPr>
          <w:i/>
        </w:rPr>
        <w:t>Civil Engineering Department submits annual progress report for Construction Management program to School of Engineering (SOE) CARC.</w:t>
      </w:r>
    </w:p>
    <w:p w:rsidR="00D44A5F" w:rsidRPr="00D44A5F" w:rsidRDefault="00D44A5F" w:rsidP="00D44A5F">
      <w:pPr>
        <w:pStyle w:val="ListParagraph"/>
        <w:tabs>
          <w:tab w:val="left" w:pos="360"/>
          <w:tab w:val="left" w:pos="1080"/>
        </w:tabs>
        <w:ind w:left="1800"/>
        <w:rPr>
          <w:i/>
        </w:rPr>
      </w:pPr>
    </w:p>
    <w:p w:rsidR="00D44A5F" w:rsidRPr="003906C7" w:rsidRDefault="003906C7" w:rsidP="00D44A5F">
      <w:pPr>
        <w:pStyle w:val="ListParagraph"/>
        <w:numPr>
          <w:ilvl w:val="0"/>
          <w:numId w:val="20"/>
        </w:numPr>
        <w:tabs>
          <w:tab w:val="left" w:pos="360"/>
          <w:tab w:val="left" w:pos="1080"/>
        </w:tabs>
      </w:pPr>
      <w:r w:rsidRPr="003906C7">
        <w:t>SOE CARC</w:t>
      </w:r>
      <w:r w:rsidR="00D44A5F" w:rsidRPr="003906C7">
        <w:t>, Oct</w:t>
      </w:r>
      <w:r w:rsidRPr="003906C7">
        <w:t>ober 1–November 1: Score Report</w:t>
      </w:r>
    </w:p>
    <w:p w:rsidR="00D44A5F" w:rsidRDefault="003906C7" w:rsidP="003906C7">
      <w:pPr>
        <w:pStyle w:val="ListParagraph"/>
        <w:tabs>
          <w:tab w:val="left" w:pos="360"/>
          <w:tab w:val="left" w:pos="1080"/>
        </w:tabs>
        <w:ind w:left="1440"/>
        <w:rPr>
          <w:i/>
        </w:rPr>
      </w:pPr>
      <w:r w:rsidRPr="003906C7">
        <w:rPr>
          <w:i/>
        </w:rPr>
        <w:t>SOE CARC reviews and scores report using provost’s rubric and forward to SOE Dean and Civil Engineering Chair. Reports are then returned to Construction Management program administrator for possible revision.</w:t>
      </w:r>
    </w:p>
    <w:p w:rsidR="003906C7" w:rsidRPr="003906C7" w:rsidRDefault="003906C7" w:rsidP="003906C7">
      <w:pPr>
        <w:pStyle w:val="ListParagraph"/>
        <w:tabs>
          <w:tab w:val="left" w:pos="360"/>
          <w:tab w:val="left" w:pos="1080"/>
        </w:tabs>
        <w:ind w:left="1440"/>
        <w:rPr>
          <w:i/>
        </w:rPr>
      </w:pPr>
    </w:p>
    <w:p w:rsidR="00D44A5F" w:rsidRPr="003906C7" w:rsidRDefault="003906C7" w:rsidP="003906C7">
      <w:pPr>
        <w:pStyle w:val="ListParagraph"/>
        <w:numPr>
          <w:ilvl w:val="0"/>
          <w:numId w:val="20"/>
        </w:numPr>
        <w:tabs>
          <w:tab w:val="left" w:pos="360"/>
          <w:tab w:val="left" w:pos="1080"/>
        </w:tabs>
      </w:pPr>
      <w:r w:rsidRPr="003906C7">
        <w:t>Civil Engineering D</w:t>
      </w:r>
      <w:r w:rsidR="00D44A5F" w:rsidRPr="003906C7">
        <w:t>epartment, December 1: Submit Annual Summary Reports</w:t>
      </w:r>
    </w:p>
    <w:p w:rsidR="003906C7" w:rsidRPr="003906C7" w:rsidRDefault="003906C7" w:rsidP="003906C7">
      <w:pPr>
        <w:pStyle w:val="ListParagraph"/>
        <w:tabs>
          <w:tab w:val="left" w:pos="360"/>
          <w:tab w:val="left" w:pos="1080"/>
        </w:tabs>
        <w:ind w:left="1440"/>
        <w:rPr>
          <w:i/>
        </w:rPr>
      </w:pPr>
      <w:r w:rsidRPr="003906C7">
        <w:rPr>
          <w:i/>
        </w:rPr>
        <w:t>Civil Engineering Chair submits annual progress reports summary to SOE Dean.</w:t>
      </w:r>
    </w:p>
    <w:p w:rsidR="00D44A5F" w:rsidRPr="00D44A5F" w:rsidRDefault="00D44A5F" w:rsidP="00D44A5F">
      <w:pPr>
        <w:pStyle w:val="ListParagraph"/>
        <w:tabs>
          <w:tab w:val="left" w:pos="360"/>
          <w:tab w:val="left" w:pos="1080"/>
        </w:tabs>
        <w:ind w:left="1440"/>
        <w:rPr>
          <w:i/>
        </w:rPr>
      </w:pPr>
    </w:p>
    <w:p w:rsidR="00D44A5F" w:rsidRPr="003906C7" w:rsidRDefault="003906C7" w:rsidP="003906C7">
      <w:pPr>
        <w:pStyle w:val="ListParagraph"/>
        <w:numPr>
          <w:ilvl w:val="0"/>
          <w:numId w:val="20"/>
        </w:numPr>
        <w:tabs>
          <w:tab w:val="left" w:pos="360"/>
          <w:tab w:val="left" w:pos="1080"/>
        </w:tabs>
      </w:pPr>
      <w:r w:rsidRPr="003906C7">
        <w:t>SOE</w:t>
      </w:r>
      <w:r w:rsidR="00D44A5F" w:rsidRPr="003906C7">
        <w:t xml:space="preserve"> Dean, January 9: Sign and Submit Summary Report to Provost</w:t>
      </w:r>
    </w:p>
    <w:p w:rsidR="003906C7" w:rsidRPr="003906C7" w:rsidRDefault="003906C7" w:rsidP="003906C7">
      <w:pPr>
        <w:pStyle w:val="ListParagraph"/>
        <w:tabs>
          <w:tab w:val="left" w:pos="360"/>
          <w:tab w:val="left" w:pos="1080"/>
        </w:tabs>
        <w:ind w:left="1440"/>
        <w:rPr>
          <w:i/>
        </w:rPr>
      </w:pPr>
      <w:r w:rsidRPr="003906C7">
        <w:rPr>
          <w:i/>
        </w:rPr>
        <w:t>SOE Dean signs and submits summary report to Provost.</w:t>
      </w:r>
    </w:p>
    <w:p w:rsidR="00D44A5F" w:rsidRDefault="00D44A5F" w:rsidP="00D44A5F">
      <w:pPr>
        <w:tabs>
          <w:tab w:val="left" w:pos="360"/>
          <w:tab w:val="left" w:pos="1080"/>
        </w:tabs>
        <w:ind w:left="1440" w:hanging="360"/>
        <w:rPr>
          <w:i/>
        </w:rPr>
      </w:pPr>
    </w:p>
    <w:p w:rsidR="00D44A5F" w:rsidRDefault="00D44A5F" w:rsidP="00D44A5F">
      <w:pPr>
        <w:pStyle w:val="ListParagraph"/>
        <w:numPr>
          <w:ilvl w:val="0"/>
          <w:numId w:val="20"/>
        </w:numPr>
        <w:tabs>
          <w:tab w:val="left" w:pos="360"/>
          <w:tab w:val="left" w:pos="1080"/>
        </w:tabs>
        <w:rPr>
          <w:i/>
        </w:rPr>
      </w:pPr>
      <w:r w:rsidRPr="00D44A5F">
        <w:rPr>
          <w:i/>
        </w:rPr>
        <w:t>Provost, January 22: Posts Summarized Results to</w:t>
      </w:r>
      <w:r w:rsidR="003906C7">
        <w:rPr>
          <w:i/>
        </w:rPr>
        <w:t xml:space="preserve"> UNM website.</w:t>
      </w:r>
    </w:p>
    <w:p w:rsidR="003906C7" w:rsidRDefault="003906C7" w:rsidP="003906C7">
      <w:pPr>
        <w:pStyle w:val="ListParagraph"/>
        <w:tabs>
          <w:tab w:val="left" w:pos="360"/>
          <w:tab w:val="left" w:pos="1080"/>
        </w:tabs>
        <w:ind w:left="1440"/>
        <w:rPr>
          <w:i/>
        </w:rPr>
      </w:pPr>
      <w:r w:rsidRPr="003906C7">
        <w:rPr>
          <w:i/>
        </w:rPr>
        <w:t>Provost posts summarized results to website.</w:t>
      </w:r>
    </w:p>
    <w:p w:rsidR="003906C7" w:rsidRDefault="003906C7" w:rsidP="003906C7">
      <w:pPr>
        <w:tabs>
          <w:tab w:val="left" w:pos="360"/>
          <w:tab w:val="left" w:pos="1080"/>
        </w:tabs>
        <w:rPr>
          <w:i/>
        </w:rPr>
      </w:pPr>
    </w:p>
    <w:p w:rsidR="003906C7" w:rsidRPr="003906C7" w:rsidRDefault="001755A4" w:rsidP="003906C7">
      <w:pPr>
        <w:tabs>
          <w:tab w:val="left" w:pos="360"/>
          <w:tab w:val="left" w:pos="1080"/>
        </w:tabs>
        <w:rPr>
          <w:i/>
        </w:rPr>
      </w:pPr>
      <w:r w:rsidRPr="00467B53">
        <w:rPr>
          <w:i/>
          <w:noProof/>
        </w:rPr>
        <mc:AlternateContent>
          <mc:Choice Requires="wps">
            <w:drawing>
              <wp:anchor distT="0" distB="0" distL="114300" distR="114300" simplePos="0" relativeHeight="251663360" behindDoc="0" locked="0" layoutInCell="1" allowOverlap="1" wp14:anchorId="0D79218D" wp14:editId="7B08CCC0">
                <wp:simplePos x="0" y="0"/>
                <wp:positionH relativeFrom="column">
                  <wp:posOffset>274320</wp:posOffset>
                </wp:positionH>
                <wp:positionV relativeFrom="paragraph">
                  <wp:posOffset>955675</wp:posOffset>
                </wp:positionV>
                <wp:extent cx="2734310" cy="1403985"/>
                <wp:effectExtent l="0" t="0" r="2794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403985"/>
                        </a:xfrm>
                        <a:prstGeom prst="rect">
                          <a:avLst/>
                        </a:prstGeom>
                        <a:solidFill>
                          <a:srgbClr val="FFFFFF"/>
                        </a:solidFill>
                        <a:ln w="9525">
                          <a:solidFill>
                            <a:srgbClr val="000000"/>
                          </a:solidFill>
                          <a:miter lim="800000"/>
                          <a:headEnd/>
                          <a:tailEnd/>
                        </a:ln>
                      </wps:spPr>
                      <wps:txbx>
                        <w:txbxContent>
                          <w:p w:rsidR="00467B53" w:rsidRPr="00467B53" w:rsidRDefault="00467B53" w:rsidP="00467B53">
                            <w:pPr>
                              <w:rPr>
                                <w:sz w:val="18"/>
                                <w:szCs w:val="18"/>
                              </w:rPr>
                            </w:pPr>
                            <w:r w:rsidRPr="00467B53">
                              <w:rPr>
                                <w:sz w:val="18"/>
                                <w:szCs w:val="18"/>
                              </w:rPr>
                              <w:t>December 1:</w:t>
                            </w:r>
                          </w:p>
                          <w:p w:rsidR="00467B53" w:rsidRPr="00467B53" w:rsidRDefault="00467B53" w:rsidP="00467B53">
                            <w:pPr>
                              <w:rPr>
                                <w:sz w:val="18"/>
                                <w:szCs w:val="18"/>
                              </w:rPr>
                            </w:pPr>
                            <w:r w:rsidRPr="00467B53">
                              <w:rPr>
                                <w:sz w:val="18"/>
                                <w:szCs w:val="18"/>
                              </w:rPr>
                              <w:t>Civil Eng</w:t>
                            </w:r>
                            <w:r w:rsidR="001755A4">
                              <w:rPr>
                                <w:sz w:val="18"/>
                                <w:szCs w:val="18"/>
                              </w:rPr>
                              <w:t>ineering</w:t>
                            </w:r>
                            <w:r w:rsidRPr="00467B53">
                              <w:rPr>
                                <w:sz w:val="18"/>
                                <w:szCs w:val="18"/>
                              </w:rPr>
                              <w:t xml:space="preserve"> Dep</w:t>
                            </w:r>
                            <w:r w:rsidR="001755A4">
                              <w:rPr>
                                <w:sz w:val="18"/>
                                <w:szCs w:val="18"/>
                              </w:rPr>
                              <w:t>ar</w:t>
                            </w:r>
                            <w:r w:rsidRPr="00467B53">
                              <w:rPr>
                                <w:sz w:val="18"/>
                                <w:szCs w:val="18"/>
                              </w:rPr>
                              <w:t>t</w:t>
                            </w:r>
                            <w:r w:rsidR="001755A4">
                              <w:rPr>
                                <w:sz w:val="18"/>
                                <w:szCs w:val="18"/>
                              </w:rPr>
                              <w:t>ment</w:t>
                            </w:r>
                            <w:r w:rsidRPr="00467B53">
                              <w:rPr>
                                <w:sz w:val="18"/>
                                <w:szCs w:val="18"/>
                              </w:rPr>
                              <w:t xml:space="preserve"> Chair submits </w:t>
                            </w:r>
                          </w:p>
                          <w:p w:rsidR="00467B53" w:rsidRPr="00467B53" w:rsidRDefault="00467B53" w:rsidP="00467B53">
                            <w:pPr>
                              <w:rPr>
                                <w:sz w:val="18"/>
                                <w:szCs w:val="18"/>
                              </w:rPr>
                            </w:pPr>
                            <w:r w:rsidRPr="00467B53">
                              <w:rPr>
                                <w:sz w:val="18"/>
                                <w:szCs w:val="18"/>
                              </w:rPr>
                              <w:t>Progress report summary to SOE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75.25pt;width:215.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dTIwIAAEU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">
                <v:textbox style="mso-fit-shape-to-text:t">
                  <w:txbxContent>
                    <w:p w:rsidR="00467B53" w:rsidRPr="00467B53" w:rsidRDefault="00467B53" w:rsidP="00467B53">
                      <w:pPr>
                        <w:rPr>
                          <w:sz w:val="18"/>
                          <w:szCs w:val="18"/>
                        </w:rPr>
                      </w:pPr>
                      <w:r w:rsidRPr="00467B53">
                        <w:rPr>
                          <w:sz w:val="18"/>
                          <w:szCs w:val="18"/>
                        </w:rPr>
                        <w:t>December 1:</w:t>
                      </w:r>
                    </w:p>
                    <w:p w:rsidR="00467B53" w:rsidRPr="00467B53" w:rsidRDefault="00467B53" w:rsidP="00467B53">
                      <w:pPr>
                        <w:rPr>
                          <w:sz w:val="18"/>
                          <w:szCs w:val="18"/>
                        </w:rPr>
                      </w:pPr>
                      <w:r w:rsidRPr="00467B53">
                        <w:rPr>
                          <w:sz w:val="18"/>
                          <w:szCs w:val="18"/>
                        </w:rPr>
                        <w:t>Civil Eng</w:t>
                      </w:r>
                      <w:r w:rsidR="001755A4">
                        <w:rPr>
                          <w:sz w:val="18"/>
                          <w:szCs w:val="18"/>
                        </w:rPr>
                        <w:t>ineering</w:t>
                      </w:r>
                      <w:r w:rsidRPr="00467B53">
                        <w:rPr>
                          <w:sz w:val="18"/>
                          <w:szCs w:val="18"/>
                        </w:rPr>
                        <w:t xml:space="preserve"> Dep</w:t>
                      </w:r>
                      <w:r w:rsidR="001755A4">
                        <w:rPr>
                          <w:sz w:val="18"/>
                          <w:szCs w:val="18"/>
                        </w:rPr>
                        <w:t>ar</w:t>
                      </w:r>
                      <w:r w:rsidRPr="00467B53">
                        <w:rPr>
                          <w:sz w:val="18"/>
                          <w:szCs w:val="18"/>
                        </w:rPr>
                        <w:t>t</w:t>
                      </w:r>
                      <w:r w:rsidR="001755A4">
                        <w:rPr>
                          <w:sz w:val="18"/>
                          <w:szCs w:val="18"/>
                        </w:rPr>
                        <w:t>ment</w:t>
                      </w:r>
                      <w:r w:rsidRPr="00467B53">
                        <w:rPr>
                          <w:sz w:val="18"/>
                          <w:szCs w:val="18"/>
                        </w:rPr>
                        <w:t xml:space="preserve"> Chair submits </w:t>
                      </w:r>
                    </w:p>
                    <w:p w:rsidR="00467B53" w:rsidRPr="00467B53" w:rsidRDefault="00467B53" w:rsidP="00467B53">
                      <w:pPr>
                        <w:rPr>
                          <w:sz w:val="18"/>
                          <w:szCs w:val="18"/>
                        </w:rPr>
                      </w:pPr>
                      <w:r w:rsidRPr="00467B53">
                        <w:rPr>
                          <w:sz w:val="18"/>
                          <w:szCs w:val="18"/>
                        </w:rPr>
                        <w:t>Progress report summary to SOE Dean</w:t>
                      </w:r>
                    </w:p>
                  </w:txbxContent>
                </v:textbox>
              </v:shape>
            </w:pict>
          </mc:Fallback>
        </mc:AlternateContent>
      </w:r>
      <w:r w:rsidRPr="00467B53">
        <w:rPr>
          <w:i/>
          <w:noProof/>
        </w:rPr>
        <mc:AlternateContent>
          <mc:Choice Requires="wps">
            <w:drawing>
              <wp:anchor distT="0" distB="0" distL="114300" distR="114300" simplePos="0" relativeHeight="251661312" behindDoc="0" locked="0" layoutInCell="1" allowOverlap="1" wp14:anchorId="22A114D1" wp14:editId="18A8595E">
                <wp:simplePos x="0" y="0"/>
                <wp:positionH relativeFrom="column">
                  <wp:posOffset>271780</wp:posOffset>
                </wp:positionH>
                <wp:positionV relativeFrom="paragraph">
                  <wp:posOffset>1779905</wp:posOffset>
                </wp:positionV>
                <wp:extent cx="2121535" cy="1403985"/>
                <wp:effectExtent l="0" t="0" r="1206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03985"/>
                        </a:xfrm>
                        <a:prstGeom prst="rect">
                          <a:avLst/>
                        </a:prstGeom>
                        <a:solidFill>
                          <a:srgbClr val="FFFFFF"/>
                        </a:solidFill>
                        <a:ln w="9525">
                          <a:solidFill>
                            <a:srgbClr val="000000"/>
                          </a:solidFill>
                          <a:miter lim="800000"/>
                          <a:headEnd/>
                          <a:tailEnd/>
                        </a:ln>
                      </wps:spPr>
                      <wps:txbx>
                        <w:txbxContent>
                          <w:p w:rsidR="00467B53" w:rsidRPr="00467B53" w:rsidRDefault="00467B53" w:rsidP="00467B53">
                            <w:pPr>
                              <w:rPr>
                                <w:sz w:val="18"/>
                                <w:szCs w:val="18"/>
                              </w:rPr>
                            </w:pPr>
                            <w:r w:rsidRPr="00467B53">
                              <w:rPr>
                                <w:sz w:val="18"/>
                                <w:szCs w:val="18"/>
                              </w:rPr>
                              <w:t>October 1</w:t>
                            </w:r>
                            <w:r w:rsidRPr="00467B53">
                              <w:rPr>
                                <w:sz w:val="18"/>
                                <w:szCs w:val="18"/>
                              </w:rPr>
                              <w:t xml:space="preserve"> – November 1</w:t>
                            </w:r>
                            <w:r w:rsidRPr="00467B53">
                              <w:rPr>
                                <w:sz w:val="18"/>
                                <w:szCs w:val="18"/>
                              </w:rPr>
                              <w:t>:</w:t>
                            </w:r>
                          </w:p>
                          <w:p w:rsidR="00467B53" w:rsidRPr="00467B53" w:rsidRDefault="00467B53" w:rsidP="00467B53">
                            <w:pPr>
                              <w:rPr>
                                <w:sz w:val="18"/>
                                <w:szCs w:val="18"/>
                              </w:rPr>
                            </w:pPr>
                            <w:r w:rsidRPr="00467B53">
                              <w:rPr>
                                <w:sz w:val="18"/>
                                <w:szCs w:val="18"/>
                              </w:rPr>
                              <w:t xml:space="preserve"> SOE CARC</w:t>
                            </w:r>
                            <w:r w:rsidRPr="00467B53">
                              <w:rPr>
                                <w:sz w:val="18"/>
                                <w:szCs w:val="18"/>
                              </w:rPr>
                              <w:t xml:space="preserve"> reviews and scores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4pt;margin-top:140.15pt;width:167.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">
                <v:textbox style="mso-fit-shape-to-text:t">
                  <w:txbxContent>
                    <w:p w:rsidR="00467B53" w:rsidRPr="00467B53" w:rsidRDefault="00467B53" w:rsidP="00467B53">
                      <w:pPr>
                        <w:rPr>
                          <w:sz w:val="18"/>
                          <w:szCs w:val="18"/>
                        </w:rPr>
                      </w:pPr>
                      <w:r w:rsidRPr="00467B53">
                        <w:rPr>
                          <w:sz w:val="18"/>
                          <w:szCs w:val="18"/>
                        </w:rPr>
                        <w:t>October 1</w:t>
                      </w:r>
                      <w:r w:rsidRPr="00467B53">
                        <w:rPr>
                          <w:sz w:val="18"/>
                          <w:szCs w:val="18"/>
                        </w:rPr>
                        <w:t xml:space="preserve"> – November 1</w:t>
                      </w:r>
                      <w:r w:rsidRPr="00467B53">
                        <w:rPr>
                          <w:sz w:val="18"/>
                          <w:szCs w:val="18"/>
                        </w:rPr>
                        <w:t>:</w:t>
                      </w:r>
                    </w:p>
                    <w:p w:rsidR="00467B53" w:rsidRPr="00467B53" w:rsidRDefault="00467B53" w:rsidP="00467B53">
                      <w:pPr>
                        <w:rPr>
                          <w:sz w:val="18"/>
                          <w:szCs w:val="18"/>
                        </w:rPr>
                      </w:pPr>
                      <w:r w:rsidRPr="00467B53">
                        <w:rPr>
                          <w:sz w:val="18"/>
                          <w:szCs w:val="18"/>
                        </w:rPr>
                        <w:t xml:space="preserve"> SOE CARC</w:t>
                      </w:r>
                      <w:r w:rsidRPr="00467B53">
                        <w:rPr>
                          <w:sz w:val="18"/>
                          <w:szCs w:val="18"/>
                        </w:rPr>
                        <w:t xml:space="preserve"> reviews and scores report</w:t>
                      </w:r>
                    </w:p>
                  </w:txbxContent>
                </v:textbox>
              </v:shape>
            </w:pict>
          </mc:Fallback>
        </mc:AlternateContent>
      </w:r>
      <w:r w:rsidRPr="00467B53">
        <w:rPr>
          <w:i/>
          <w:noProof/>
        </w:rPr>
        <mc:AlternateContent>
          <mc:Choice Requires="wps">
            <w:drawing>
              <wp:anchor distT="0" distB="0" distL="114300" distR="114300" simplePos="0" relativeHeight="251659264" behindDoc="0" locked="0" layoutInCell="1" allowOverlap="1" wp14:anchorId="07A534D6" wp14:editId="67E8B907">
                <wp:simplePos x="0" y="0"/>
                <wp:positionH relativeFrom="column">
                  <wp:posOffset>276225</wp:posOffset>
                </wp:positionH>
                <wp:positionV relativeFrom="paragraph">
                  <wp:posOffset>2508885</wp:posOffset>
                </wp:positionV>
                <wp:extent cx="2121535" cy="1403985"/>
                <wp:effectExtent l="0" t="0" r="1206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03985"/>
                        </a:xfrm>
                        <a:prstGeom prst="rect">
                          <a:avLst/>
                        </a:prstGeom>
                        <a:solidFill>
                          <a:srgbClr val="FFFFFF"/>
                        </a:solidFill>
                        <a:ln w="9525">
                          <a:solidFill>
                            <a:srgbClr val="000000"/>
                          </a:solidFill>
                          <a:miter lim="800000"/>
                          <a:headEnd/>
                          <a:tailEnd/>
                        </a:ln>
                      </wps:spPr>
                      <wps:txbx>
                        <w:txbxContent>
                          <w:p w:rsidR="00467B53" w:rsidRPr="00467B53" w:rsidRDefault="00467B53">
                            <w:pPr>
                              <w:rPr>
                                <w:sz w:val="18"/>
                                <w:szCs w:val="18"/>
                              </w:rPr>
                            </w:pPr>
                            <w:r w:rsidRPr="00467B53">
                              <w:rPr>
                                <w:sz w:val="18"/>
                                <w:szCs w:val="18"/>
                              </w:rPr>
                              <w:t>October 1:</w:t>
                            </w:r>
                          </w:p>
                          <w:p w:rsidR="00467B53" w:rsidRPr="00467B53" w:rsidRDefault="00467B53">
                            <w:pPr>
                              <w:rPr>
                                <w:sz w:val="18"/>
                                <w:szCs w:val="18"/>
                              </w:rPr>
                            </w:pPr>
                            <w:r w:rsidRPr="00467B53">
                              <w:rPr>
                                <w:sz w:val="18"/>
                                <w:szCs w:val="18"/>
                              </w:rPr>
                              <w:t>CM submits annual progress report to SOE CARC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75pt;margin-top:197.55pt;width:167.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">
                <v:textbox style="mso-fit-shape-to-text:t">
                  <w:txbxContent>
                    <w:p w:rsidR="00467B53" w:rsidRPr="00467B53" w:rsidRDefault="00467B53">
                      <w:pPr>
                        <w:rPr>
                          <w:sz w:val="18"/>
                          <w:szCs w:val="18"/>
                        </w:rPr>
                      </w:pPr>
                      <w:r w:rsidRPr="00467B53">
                        <w:rPr>
                          <w:sz w:val="18"/>
                          <w:szCs w:val="18"/>
                        </w:rPr>
                        <w:t>October 1:</w:t>
                      </w:r>
                    </w:p>
                    <w:p w:rsidR="00467B53" w:rsidRPr="00467B53" w:rsidRDefault="00467B53">
                      <w:pPr>
                        <w:rPr>
                          <w:sz w:val="18"/>
                          <w:szCs w:val="18"/>
                        </w:rPr>
                      </w:pPr>
                      <w:r w:rsidRPr="00467B53">
                        <w:rPr>
                          <w:sz w:val="18"/>
                          <w:szCs w:val="18"/>
                        </w:rPr>
                        <w:t>CM submits annual progress report to SOE CARC</w:t>
                      </w:r>
                    </w:p>
                  </w:txbxContent>
                </v:textbox>
              </v:shape>
            </w:pict>
          </mc:Fallback>
        </mc:AlternateContent>
      </w:r>
      <w:r w:rsidR="003906C7" w:rsidRPr="001755A4">
        <w:rPr>
          <w:i/>
          <w:noProof/>
          <w:color w:val="FF0000"/>
        </w:rPr>
        <w:drawing>
          <wp:inline distT="0" distB="0" distL="0" distR="0" wp14:anchorId="1055088D" wp14:editId="2935D32E">
            <wp:extent cx="6383547" cy="3959524"/>
            <wp:effectExtent l="0" t="0" r="1778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873" w:rsidRPr="00652779" w:rsidRDefault="00270873" w:rsidP="00B15775">
      <w:pPr>
        <w:tabs>
          <w:tab w:val="left" w:pos="360"/>
          <w:tab w:val="left" w:pos="1080"/>
        </w:tabs>
        <w:ind w:left="1440" w:hanging="360"/>
        <w:rPr>
          <w:i/>
          <w:sz w:val="18"/>
          <w:szCs w:val="18"/>
        </w:rPr>
      </w:pPr>
    </w:p>
    <w:p w:rsidR="00F25F90" w:rsidRPr="00652779" w:rsidRDefault="00F25F90">
      <w:pPr>
        <w:rPr>
          <w:i/>
          <w:sz w:val="18"/>
          <w:szCs w:val="18"/>
        </w:rPr>
      </w:pPr>
    </w:p>
    <w:sectPr w:rsidR="00F25F90" w:rsidRPr="00652779" w:rsidSect="00CC1E10">
      <w:footerReference w:type="default" r:id="rId10"/>
      <w:type w:val="continuous"/>
      <w:pgSz w:w="12240" w:h="15840"/>
      <w:pgMar w:top="1440" w:right="1080" w:bottom="1260" w:left="144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F5" w:rsidRDefault="00D06EF5">
      <w:r>
        <w:separator/>
      </w:r>
    </w:p>
  </w:endnote>
  <w:endnote w:type="continuationSeparator" w:id="0">
    <w:p w:rsidR="00D06EF5" w:rsidRDefault="00D0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4657"/>
      <w:gridCol w:w="1283"/>
      <w:gridCol w:w="648"/>
    </w:tblGrid>
    <w:tr w:rsidR="00721364" w:rsidRPr="001648F0">
      <w:tc>
        <w:tcPr>
          <w:tcW w:w="2268" w:type="dxa"/>
        </w:tcPr>
        <w:p w:rsidR="00721364" w:rsidRPr="001648F0" w:rsidRDefault="00721364" w:rsidP="006352F5">
          <w:pPr>
            <w:pStyle w:val="Footer"/>
            <w:rPr>
              <w:rStyle w:val="PageNumber"/>
              <w:sz w:val="20"/>
              <w:szCs w:val="20"/>
            </w:rPr>
          </w:pPr>
        </w:p>
      </w:tc>
      <w:tc>
        <w:tcPr>
          <w:tcW w:w="4657" w:type="dxa"/>
        </w:tcPr>
        <w:p w:rsidR="00721364" w:rsidRPr="00313B11" w:rsidRDefault="00721364" w:rsidP="006352F5">
          <w:pPr>
            <w:pStyle w:val="Footer"/>
            <w:jc w:val="center"/>
            <w:rPr>
              <w:rStyle w:val="PageNumber"/>
              <w:i/>
              <w:sz w:val="16"/>
              <w:szCs w:val="16"/>
            </w:rPr>
          </w:pPr>
          <w:r w:rsidRPr="00313B11">
            <w:rPr>
              <w:rStyle w:val="PageNumber"/>
              <w:i/>
              <w:sz w:val="16"/>
              <w:szCs w:val="16"/>
            </w:rPr>
            <w:t>Adapted from Kansas State University Office of Assessment</w:t>
          </w:r>
        </w:p>
      </w:tc>
      <w:tc>
        <w:tcPr>
          <w:tcW w:w="1931" w:type="dxa"/>
          <w:gridSpan w:val="2"/>
        </w:tcPr>
        <w:p w:rsidR="00721364" w:rsidRPr="001648F0" w:rsidRDefault="00721364" w:rsidP="006352F5">
          <w:pPr>
            <w:pStyle w:val="Footer"/>
            <w:jc w:val="right"/>
            <w:rPr>
              <w:rStyle w:val="PageNumber"/>
              <w:sz w:val="20"/>
              <w:szCs w:val="20"/>
            </w:rPr>
          </w:pPr>
        </w:p>
      </w:tc>
    </w:tr>
    <w:tr w:rsidR="00721364" w:rsidRPr="001648F0">
      <w:trPr>
        <w:cantSplit/>
      </w:trPr>
      <w:tc>
        <w:tcPr>
          <w:tcW w:w="2268" w:type="dxa"/>
          <w:vMerge w:val="restart"/>
        </w:tcPr>
        <w:p w:rsidR="00721364" w:rsidRPr="001648F0" w:rsidRDefault="00721364" w:rsidP="006352F5">
          <w:pPr>
            <w:pStyle w:val="Footer"/>
            <w:rPr>
              <w:rStyle w:val="PageNumber"/>
              <w:sz w:val="20"/>
              <w:szCs w:val="20"/>
            </w:rPr>
          </w:pPr>
          <w:r w:rsidRPr="001648F0">
            <w:rPr>
              <w:rStyle w:val="PageNumber"/>
              <w:sz w:val="20"/>
              <w:szCs w:val="20"/>
            </w:rPr>
            <w:t>University of New Mexico – Assessment</w:t>
          </w:r>
        </w:p>
      </w:tc>
      <w:tc>
        <w:tcPr>
          <w:tcW w:w="4657" w:type="dxa"/>
        </w:tcPr>
        <w:p w:rsidR="00721364" w:rsidRPr="001648F0" w:rsidRDefault="00721364" w:rsidP="006352F5">
          <w:pPr>
            <w:pStyle w:val="Footer"/>
            <w:jc w:val="center"/>
            <w:rPr>
              <w:rStyle w:val="PageNumber"/>
              <w:sz w:val="20"/>
              <w:szCs w:val="20"/>
            </w:rPr>
          </w:pPr>
        </w:p>
      </w:tc>
      <w:tc>
        <w:tcPr>
          <w:tcW w:w="1931" w:type="dxa"/>
          <w:gridSpan w:val="2"/>
        </w:tcPr>
        <w:p w:rsidR="00721364" w:rsidRPr="001648F0" w:rsidRDefault="00721364" w:rsidP="006352F5">
          <w:pPr>
            <w:pStyle w:val="Footer"/>
            <w:jc w:val="right"/>
            <w:rPr>
              <w:rStyle w:val="PageNumber"/>
              <w:sz w:val="20"/>
              <w:szCs w:val="20"/>
            </w:rPr>
          </w:pPr>
          <w:r w:rsidRPr="001648F0">
            <w:rPr>
              <w:rStyle w:val="PageNumber"/>
              <w:sz w:val="20"/>
              <w:szCs w:val="20"/>
            </w:rPr>
            <w:t xml:space="preserve">Page </w:t>
          </w:r>
          <w:r w:rsidRPr="001648F0">
            <w:rPr>
              <w:rStyle w:val="PageNumber"/>
              <w:sz w:val="20"/>
              <w:szCs w:val="20"/>
            </w:rPr>
            <w:fldChar w:fldCharType="begin"/>
          </w:r>
          <w:r w:rsidRPr="001648F0">
            <w:rPr>
              <w:rStyle w:val="PageNumber"/>
              <w:sz w:val="20"/>
              <w:szCs w:val="20"/>
            </w:rPr>
            <w:instrText xml:space="preserve"> PAGE </w:instrText>
          </w:r>
          <w:r w:rsidRPr="001648F0">
            <w:rPr>
              <w:rStyle w:val="PageNumber"/>
              <w:sz w:val="20"/>
              <w:szCs w:val="20"/>
            </w:rPr>
            <w:fldChar w:fldCharType="separate"/>
          </w:r>
          <w:r w:rsidR="001755A4">
            <w:rPr>
              <w:rStyle w:val="PageNumber"/>
              <w:noProof/>
              <w:sz w:val="20"/>
              <w:szCs w:val="20"/>
            </w:rPr>
            <w:t>1</w:t>
          </w:r>
          <w:r w:rsidRPr="001648F0">
            <w:rPr>
              <w:rStyle w:val="PageNumber"/>
              <w:sz w:val="20"/>
              <w:szCs w:val="20"/>
            </w:rPr>
            <w:fldChar w:fldCharType="end"/>
          </w:r>
          <w:r w:rsidRPr="001648F0">
            <w:rPr>
              <w:rStyle w:val="PageNumber"/>
              <w:sz w:val="20"/>
              <w:szCs w:val="20"/>
            </w:rPr>
            <w:t xml:space="preserve"> of </w:t>
          </w:r>
          <w:r w:rsidRPr="001648F0">
            <w:rPr>
              <w:rStyle w:val="PageNumber"/>
              <w:sz w:val="20"/>
              <w:szCs w:val="20"/>
            </w:rPr>
            <w:fldChar w:fldCharType="begin"/>
          </w:r>
          <w:r w:rsidRPr="001648F0">
            <w:rPr>
              <w:rStyle w:val="PageNumber"/>
              <w:sz w:val="20"/>
              <w:szCs w:val="20"/>
            </w:rPr>
            <w:instrText xml:space="preserve"> NUMPAGES </w:instrText>
          </w:r>
          <w:r w:rsidRPr="001648F0">
            <w:rPr>
              <w:rStyle w:val="PageNumber"/>
              <w:sz w:val="20"/>
              <w:szCs w:val="20"/>
            </w:rPr>
            <w:fldChar w:fldCharType="separate"/>
          </w:r>
          <w:r w:rsidR="001755A4">
            <w:rPr>
              <w:rStyle w:val="PageNumber"/>
              <w:noProof/>
              <w:sz w:val="20"/>
              <w:szCs w:val="20"/>
            </w:rPr>
            <w:t>7</w:t>
          </w:r>
          <w:r w:rsidRPr="001648F0">
            <w:rPr>
              <w:rStyle w:val="PageNumber"/>
              <w:sz w:val="20"/>
              <w:szCs w:val="20"/>
            </w:rPr>
            <w:fldChar w:fldCharType="end"/>
          </w:r>
        </w:p>
      </w:tc>
    </w:tr>
    <w:tr w:rsidR="00721364" w:rsidRPr="001648F0">
      <w:trPr>
        <w:cantSplit/>
      </w:trPr>
      <w:tc>
        <w:tcPr>
          <w:tcW w:w="2268" w:type="dxa"/>
          <w:vMerge/>
        </w:tcPr>
        <w:p w:rsidR="00721364" w:rsidRPr="001648F0" w:rsidRDefault="00721364" w:rsidP="006352F5">
          <w:pPr>
            <w:pStyle w:val="Footer"/>
            <w:rPr>
              <w:rStyle w:val="PageNumber"/>
              <w:sz w:val="20"/>
              <w:szCs w:val="20"/>
            </w:rPr>
          </w:pPr>
        </w:p>
      </w:tc>
      <w:tc>
        <w:tcPr>
          <w:tcW w:w="4657" w:type="dxa"/>
        </w:tcPr>
        <w:p w:rsidR="00721364" w:rsidRPr="001648F0" w:rsidRDefault="00721364" w:rsidP="006352F5">
          <w:pPr>
            <w:pStyle w:val="Footer"/>
            <w:jc w:val="center"/>
            <w:rPr>
              <w:rStyle w:val="PageNumber"/>
              <w:sz w:val="20"/>
              <w:szCs w:val="20"/>
            </w:rPr>
          </w:pPr>
        </w:p>
      </w:tc>
      <w:tc>
        <w:tcPr>
          <w:tcW w:w="1283" w:type="dxa"/>
          <w:vAlign w:val="center"/>
        </w:tcPr>
        <w:p w:rsidR="00721364" w:rsidRPr="00DE160A" w:rsidRDefault="00721364" w:rsidP="00EE6031">
          <w:pPr>
            <w:pStyle w:val="Footer"/>
            <w:rPr>
              <w:rStyle w:val="PageNumber"/>
              <w:sz w:val="16"/>
              <w:szCs w:val="16"/>
            </w:rPr>
          </w:pPr>
          <w:r w:rsidRPr="00DE160A">
            <w:rPr>
              <w:rStyle w:val="PageNumber"/>
              <w:sz w:val="16"/>
              <w:szCs w:val="16"/>
            </w:rPr>
            <w:t>Rev. 4-30-2008</w:t>
          </w:r>
        </w:p>
      </w:tc>
      <w:tc>
        <w:tcPr>
          <w:tcW w:w="648" w:type="dxa"/>
        </w:tcPr>
        <w:p w:rsidR="00721364" w:rsidRPr="001648F0" w:rsidRDefault="00721364" w:rsidP="006352F5">
          <w:pPr>
            <w:pStyle w:val="Footer"/>
            <w:jc w:val="right"/>
            <w:rPr>
              <w:rStyle w:val="PageNumber"/>
              <w:sz w:val="20"/>
              <w:szCs w:val="20"/>
            </w:rPr>
          </w:pPr>
          <w:r>
            <w:rPr>
              <w:rStyle w:val="PageNumber"/>
              <w:sz w:val="20"/>
              <w:szCs w:val="20"/>
            </w:rPr>
            <w:t>v2</w:t>
          </w:r>
        </w:p>
      </w:tc>
    </w:tr>
  </w:tbl>
  <w:p w:rsidR="00721364" w:rsidRPr="001648F0" w:rsidRDefault="0072136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4657"/>
      <w:gridCol w:w="1283"/>
      <w:gridCol w:w="648"/>
    </w:tblGrid>
    <w:tr w:rsidR="00721364" w:rsidRPr="001648F0">
      <w:tc>
        <w:tcPr>
          <w:tcW w:w="2268" w:type="dxa"/>
        </w:tcPr>
        <w:p w:rsidR="00721364" w:rsidRPr="001648F0" w:rsidRDefault="00721364" w:rsidP="006352F5">
          <w:pPr>
            <w:pStyle w:val="Footer"/>
            <w:rPr>
              <w:rStyle w:val="PageNumber"/>
              <w:sz w:val="20"/>
              <w:szCs w:val="20"/>
            </w:rPr>
          </w:pPr>
        </w:p>
      </w:tc>
      <w:tc>
        <w:tcPr>
          <w:tcW w:w="4657" w:type="dxa"/>
        </w:tcPr>
        <w:p w:rsidR="00721364" w:rsidRPr="00B27618" w:rsidRDefault="00721364" w:rsidP="006352F5">
          <w:pPr>
            <w:pStyle w:val="Footer"/>
            <w:jc w:val="center"/>
            <w:rPr>
              <w:rStyle w:val="PageNumber"/>
              <w:sz w:val="16"/>
              <w:szCs w:val="16"/>
            </w:rPr>
          </w:pPr>
        </w:p>
      </w:tc>
      <w:tc>
        <w:tcPr>
          <w:tcW w:w="1931" w:type="dxa"/>
          <w:gridSpan w:val="2"/>
        </w:tcPr>
        <w:p w:rsidR="00721364" w:rsidRPr="001648F0" w:rsidRDefault="00721364" w:rsidP="006352F5">
          <w:pPr>
            <w:pStyle w:val="Footer"/>
            <w:jc w:val="right"/>
            <w:rPr>
              <w:rStyle w:val="PageNumber"/>
              <w:sz w:val="20"/>
              <w:szCs w:val="20"/>
            </w:rPr>
          </w:pPr>
        </w:p>
      </w:tc>
    </w:tr>
    <w:tr w:rsidR="00721364" w:rsidRPr="001648F0">
      <w:trPr>
        <w:cantSplit/>
      </w:trPr>
      <w:tc>
        <w:tcPr>
          <w:tcW w:w="2268" w:type="dxa"/>
          <w:vMerge w:val="restart"/>
        </w:tcPr>
        <w:p w:rsidR="00721364" w:rsidRPr="001648F0" w:rsidRDefault="00721364" w:rsidP="006352F5">
          <w:pPr>
            <w:pStyle w:val="Footer"/>
            <w:rPr>
              <w:rStyle w:val="PageNumber"/>
              <w:sz w:val="20"/>
              <w:szCs w:val="20"/>
            </w:rPr>
          </w:pPr>
          <w:r w:rsidRPr="001648F0">
            <w:rPr>
              <w:rStyle w:val="PageNumber"/>
              <w:sz w:val="20"/>
              <w:szCs w:val="20"/>
            </w:rPr>
            <w:t>University of New Mexico – Assessment</w:t>
          </w:r>
        </w:p>
      </w:tc>
      <w:tc>
        <w:tcPr>
          <w:tcW w:w="4657" w:type="dxa"/>
        </w:tcPr>
        <w:p w:rsidR="00721364" w:rsidRPr="001648F0" w:rsidRDefault="00721364" w:rsidP="006352F5">
          <w:pPr>
            <w:pStyle w:val="Footer"/>
            <w:jc w:val="center"/>
            <w:rPr>
              <w:rStyle w:val="PageNumber"/>
              <w:sz w:val="20"/>
              <w:szCs w:val="20"/>
            </w:rPr>
          </w:pPr>
        </w:p>
      </w:tc>
      <w:tc>
        <w:tcPr>
          <w:tcW w:w="1931" w:type="dxa"/>
          <w:gridSpan w:val="2"/>
        </w:tcPr>
        <w:p w:rsidR="00721364" w:rsidRPr="001648F0" w:rsidRDefault="00721364" w:rsidP="006352F5">
          <w:pPr>
            <w:pStyle w:val="Footer"/>
            <w:jc w:val="right"/>
            <w:rPr>
              <w:rStyle w:val="PageNumber"/>
              <w:sz w:val="20"/>
              <w:szCs w:val="20"/>
            </w:rPr>
          </w:pPr>
          <w:r w:rsidRPr="001648F0">
            <w:rPr>
              <w:rStyle w:val="PageNumber"/>
              <w:sz w:val="20"/>
              <w:szCs w:val="20"/>
            </w:rPr>
            <w:t xml:space="preserve">Page </w:t>
          </w:r>
          <w:r w:rsidRPr="001648F0">
            <w:rPr>
              <w:rStyle w:val="PageNumber"/>
              <w:sz w:val="20"/>
              <w:szCs w:val="20"/>
            </w:rPr>
            <w:fldChar w:fldCharType="begin"/>
          </w:r>
          <w:r w:rsidRPr="001648F0">
            <w:rPr>
              <w:rStyle w:val="PageNumber"/>
              <w:sz w:val="20"/>
              <w:szCs w:val="20"/>
            </w:rPr>
            <w:instrText xml:space="preserve"> PAGE </w:instrText>
          </w:r>
          <w:r w:rsidRPr="001648F0">
            <w:rPr>
              <w:rStyle w:val="PageNumber"/>
              <w:sz w:val="20"/>
              <w:szCs w:val="20"/>
            </w:rPr>
            <w:fldChar w:fldCharType="separate"/>
          </w:r>
          <w:r w:rsidR="001755A4">
            <w:rPr>
              <w:rStyle w:val="PageNumber"/>
              <w:noProof/>
              <w:sz w:val="20"/>
              <w:szCs w:val="20"/>
            </w:rPr>
            <w:t>7</w:t>
          </w:r>
          <w:r w:rsidRPr="001648F0">
            <w:rPr>
              <w:rStyle w:val="PageNumber"/>
              <w:sz w:val="20"/>
              <w:szCs w:val="20"/>
            </w:rPr>
            <w:fldChar w:fldCharType="end"/>
          </w:r>
          <w:r w:rsidRPr="001648F0">
            <w:rPr>
              <w:rStyle w:val="PageNumber"/>
              <w:sz w:val="20"/>
              <w:szCs w:val="20"/>
            </w:rPr>
            <w:t xml:space="preserve"> of </w:t>
          </w:r>
          <w:r w:rsidRPr="001648F0">
            <w:rPr>
              <w:rStyle w:val="PageNumber"/>
              <w:sz w:val="20"/>
              <w:szCs w:val="20"/>
            </w:rPr>
            <w:fldChar w:fldCharType="begin"/>
          </w:r>
          <w:r w:rsidRPr="001648F0">
            <w:rPr>
              <w:rStyle w:val="PageNumber"/>
              <w:sz w:val="20"/>
              <w:szCs w:val="20"/>
            </w:rPr>
            <w:instrText xml:space="preserve"> NUMPAGES </w:instrText>
          </w:r>
          <w:r w:rsidRPr="001648F0">
            <w:rPr>
              <w:rStyle w:val="PageNumber"/>
              <w:sz w:val="20"/>
              <w:szCs w:val="20"/>
            </w:rPr>
            <w:fldChar w:fldCharType="separate"/>
          </w:r>
          <w:r w:rsidR="001755A4">
            <w:rPr>
              <w:rStyle w:val="PageNumber"/>
              <w:noProof/>
              <w:sz w:val="20"/>
              <w:szCs w:val="20"/>
            </w:rPr>
            <w:t>7</w:t>
          </w:r>
          <w:r w:rsidRPr="001648F0">
            <w:rPr>
              <w:rStyle w:val="PageNumber"/>
              <w:sz w:val="20"/>
              <w:szCs w:val="20"/>
            </w:rPr>
            <w:fldChar w:fldCharType="end"/>
          </w:r>
        </w:p>
      </w:tc>
    </w:tr>
    <w:tr w:rsidR="00721364" w:rsidRPr="001648F0">
      <w:trPr>
        <w:cantSplit/>
      </w:trPr>
      <w:tc>
        <w:tcPr>
          <w:tcW w:w="2268" w:type="dxa"/>
          <w:vMerge/>
        </w:tcPr>
        <w:p w:rsidR="00721364" w:rsidRPr="001648F0" w:rsidRDefault="00721364" w:rsidP="006352F5">
          <w:pPr>
            <w:pStyle w:val="Footer"/>
            <w:rPr>
              <w:rStyle w:val="PageNumber"/>
              <w:sz w:val="20"/>
              <w:szCs w:val="20"/>
            </w:rPr>
          </w:pPr>
        </w:p>
      </w:tc>
      <w:tc>
        <w:tcPr>
          <w:tcW w:w="4657" w:type="dxa"/>
        </w:tcPr>
        <w:p w:rsidR="00721364" w:rsidRPr="001648F0" w:rsidRDefault="00721364" w:rsidP="006352F5">
          <w:pPr>
            <w:pStyle w:val="Footer"/>
            <w:jc w:val="center"/>
            <w:rPr>
              <w:rStyle w:val="PageNumber"/>
              <w:sz w:val="20"/>
              <w:szCs w:val="20"/>
            </w:rPr>
          </w:pPr>
        </w:p>
      </w:tc>
      <w:tc>
        <w:tcPr>
          <w:tcW w:w="1283" w:type="dxa"/>
          <w:vAlign w:val="center"/>
        </w:tcPr>
        <w:p w:rsidR="00721364" w:rsidRPr="00DE160A" w:rsidRDefault="00721364" w:rsidP="00EE6031">
          <w:pPr>
            <w:pStyle w:val="Footer"/>
            <w:rPr>
              <w:rStyle w:val="PageNumber"/>
              <w:sz w:val="16"/>
              <w:szCs w:val="16"/>
            </w:rPr>
          </w:pPr>
          <w:r w:rsidRPr="00DE160A">
            <w:rPr>
              <w:rStyle w:val="PageNumber"/>
              <w:sz w:val="16"/>
              <w:szCs w:val="16"/>
            </w:rPr>
            <w:t>Rev. 4-30-2008</w:t>
          </w:r>
        </w:p>
      </w:tc>
      <w:tc>
        <w:tcPr>
          <w:tcW w:w="648" w:type="dxa"/>
        </w:tcPr>
        <w:p w:rsidR="00721364" w:rsidRPr="001648F0" w:rsidRDefault="00721364" w:rsidP="006352F5">
          <w:pPr>
            <w:pStyle w:val="Footer"/>
            <w:jc w:val="right"/>
            <w:rPr>
              <w:rStyle w:val="PageNumber"/>
              <w:sz w:val="20"/>
              <w:szCs w:val="20"/>
            </w:rPr>
          </w:pPr>
          <w:r>
            <w:rPr>
              <w:rStyle w:val="PageNumber"/>
              <w:sz w:val="20"/>
              <w:szCs w:val="20"/>
            </w:rPr>
            <w:t>v2</w:t>
          </w:r>
        </w:p>
      </w:tc>
    </w:tr>
  </w:tbl>
  <w:p w:rsidR="00721364" w:rsidRPr="001648F0" w:rsidRDefault="0072136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F5" w:rsidRDefault="00D06EF5">
      <w:r>
        <w:separator/>
      </w:r>
    </w:p>
  </w:footnote>
  <w:footnote w:type="continuationSeparator" w:id="0">
    <w:p w:rsidR="00D06EF5" w:rsidRDefault="00D06EF5">
      <w:r>
        <w:continuationSeparator/>
      </w:r>
    </w:p>
  </w:footnote>
  <w:footnote w:id="1">
    <w:p w:rsidR="00721364" w:rsidRDefault="00721364" w:rsidP="00750FAD">
      <w:pPr>
        <w:pStyle w:val="FootnoteText"/>
        <w:tabs>
          <w:tab w:val="left" w:pos="1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A6"/>
    <w:multiLevelType w:val="hybridMultilevel"/>
    <w:tmpl w:val="B074F552"/>
    <w:lvl w:ilvl="0" w:tplc="8CBA52FA">
      <w:start w:val="1"/>
      <w:numFmt w:val="bullet"/>
      <w:lvlText w:val=""/>
      <w:lvlJc w:val="left"/>
      <w:pPr>
        <w:tabs>
          <w:tab w:val="num" w:pos="288"/>
        </w:tabs>
        <w:ind w:left="360" w:hanging="216"/>
      </w:pPr>
      <w:rPr>
        <w:rFonts w:ascii="Symbol" w:hAnsi="Symbol" w:hint="default"/>
      </w:rPr>
    </w:lvl>
    <w:lvl w:ilvl="1" w:tplc="384E66DC">
      <w:start w:val="1"/>
      <w:numFmt w:val="bullet"/>
      <w:lvlText w:val=""/>
      <w:lvlJc w:val="left"/>
      <w:pPr>
        <w:tabs>
          <w:tab w:val="num" w:pos="1512"/>
        </w:tabs>
        <w:ind w:left="1512" w:hanging="72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F987C35"/>
    <w:multiLevelType w:val="hybridMultilevel"/>
    <w:tmpl w:val="9E8AC25C"/>
    <w:lvl w:ilvl="0" w:tplc="30E89780">
      <w:start w:val="1"/>
      <w:numFmt w:val="bullet"/>
      <w:lvlText w:val=""/>
      <w:lvlJc w:val="left"/>
      <w:pPr>
        <w:tabs>
          <w:tab w:val="num" w:pos="720"/>
        </w:tabs>
        <w:ind w:left="720" w:hanging="504"/>
      </w:pPr>
      <w:rPr>
        <w:rFonts w:ascii="Symbol" w:hAnsi="Symbol" w:hint="default"/>
      </w:rPr>
    </w:lvl>
    <w:lvl w:ilvl="1" w:tplc="4E5EEAF6">
      <w:start w:val="1"/>
      <w:numFmt w:val="bullet"/>
      <w:lvlText w:val=""/>
      <w:lvlJc w:val="left"/>
      <w:pPr>
        <w:tabs>
          <w:tab w:val="num" w:pos="2664"/>
        </w:tabs>
        <w:ind w:left="2664" w:hanging="24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352E2"/>
    <w:multiLevelType w:val="hybridMultilevel"/>
    <w:tmpl w:val="C99272F8"/>
    <w:lvl w:ilvl="0" w:tplc="C70A6920">
      <w:start w:val="1"/>
      <w:numFmt w:val="bullet"/>
      <w:lvlText w:val=""/>
      <w:lvlJc w:val="left"/>
      <w:pPr>
        <w:tabs>
          <w:tab w:val="num" w:pos="504"/>
        </w:tabs>
        <w:ind w:left="504" w:hanging="360"/>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nsid w:val="18261CF5"/>
    <w:multiLevelType w:val="hybridMultilevel"/>
    <w:tmpl w:val="8D46321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A4F51"/>
    <w:multiLevelType w:val="hybridMultilevel"/>
    <w:tmpl w:val="5A5A9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A3CF1"/>
    <w:multiLevelType w:val="hybridMultilevel"/>
    <w:tmpl w:val="02FCD274"/>
    <w:lvl w:ilvl="0" w:tplc="65FE193A">
      <w:start w:val="1"/>
      <w:numFmt w:val="bullet"/>
      <w:lvlText w:val=""/>
      <w:lvlJc w:val="left"/>
      <w:pPr>
        <w:tabs>
          <w:tab w:val="num" w:pos="504"/>
        </w:tabs>
        <w:ind w:left="504" w:hanging="504"/>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nsid w:val="313A3DDE"/>
    <w:multiLevelType w:val="hybridMultilevel"/>
    <w:tmpl w:val="F4D2DA16"/>
    <w:lvl w:ilvl="0" w:tplc="93F22AA8">
      <w:start w:val="1"/>
      <w:numFmt w:val="bullet"/>
      <w:lvlText w:val=""/>
      <w:lvlJc w:val="left"/>
      <w:pPr>
        <w:tabs>
          <w:tab w:val="num" w:pos="504"/>
        </w:tabs>
        <w:ind w:left="504" w:hanging="432"/>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31932059"/>
    <w:multiLevelType w:val="hybridMultilevel"/>
    <w:tmpl w:val="14704A56"/>
    <w:lvl w:ilvl="0" w:tplc="B22E3412">
      <w:start w:val="1"/>
      <w:numFmt w:val="bullet"/>
      <w:lvlText w:val=""/>
      <w:lvlJc w:val="left"/>
      <w:pPr>
        <w:tabs>
          <w:tab w:val="num" w:pos="432"/>
        </w:tabs>
        <w:ind w:left="504" w:hanging="288"/>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8">
    <w:nsid w:val="3B7074BA"/>
    <w:multiLevelType w:val="hybridMultilevel"/>
    <w:tmpl w:val="B3CE7F82"/>
    <w:lvl w:ilvl="0" w:tplc="458A17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DA17A9"/>
    <w:multiLevelType w:val="hybridMultilevel"/>
    <w:tmpl w:val="1C704390"/>
    <w:lvl w:ilvl="0" w:tplc="30E89780">
      <w:start w:val="1"/>
      <w:numFmt w:val="bullet"/>
      <w:lvlText w:val=""/>
      <w:lvlJc w:val="left"/>
      <w:pPr>
        <w:tabs>
          <w:tab w:val="num" w:pos="720"/>
        </w:tabs>
        <w:ind w:left="720" w:hanging="504"/>
      </w:pPr>
      <w:rPr>
        <w:rFonts w:ascii="Symbol" w:hAnsi="Symbol" w:hint="default"/>
      </w:rPr>
    </w:lvl>
    <w:lvl w:ilvl="1" w:tplc="EBAE1F6C">
      <w:start w:val="1"/>
      <w:numFmt w:val="bullet"/>
      <w:lvlText w:val=""/>
      <w:lvlJc w:val="left"/>
      <w:pPr>
        <w:tabs>
          <w:tab w:val="num" w:pos="2664"/>
        </w:tabs>
        <w:ind w:left="2664" w:hanging="15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11CF1"/>
    <w:multiLevelType w:val="hybridMultilevel"/>
    <w:tmpl w:val="2EB068B4"/>
    <w:lvl w:ilvl="0" w:tplc="CD92102E">
      <w:start w:val="1"/>
      <w:numFmt w:val="bullet"/>
      <w:lvlText w:val=""/>
      <w:lvlJc w:val="left"/>
      <w:pPr>
        <w:tabs>
          <w:tab w:val="num" w:pos="288"/>
        </w:tabs>
        <w:ind w:left="360" w:hanging="288"/>
      </w:pPr>
      <w:rPr>
        <w:rFonts w:ascii="Symbol" w:hAnsi="Symbol" w:hint="default"/>
      </w:rPr>
    </w:lvl>
    <w:lvl w:ilvl="1" w:tplc="384E66DC">
      <w:start w:val="1"/>
      <w:numFmt w:val="bullet"/>
      <w:lvlText w:val=""/>
      <w:lvlJc w:val="left"/>
      <w:pPr>
        <w:tabs>
          <w:tab w:val="num" w:pos="1512"/>
        </w:tabs>
        <w:ind w:left="1512" w:hanging="72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49D40F34"/>
    <w:multiLevelType w:val="hybridMultilevel"/>
    <w:tmpl w:val="CD583DAC"/>
    <w:lvl w:ilvl="0" w:tplc="8C96F40A">
      <w:start w:val="1"/>
      <w:numFmt w:val="upperLetter"/>
      <w:pStyle w:val="Heading3"/>
      <w:lvlText w:val="%1."/>
      <w:lvlJc w:val="left"/>
      <w:pPr>
        <w:tabs>
          <w:tab w:val="num" w:pos="360"/>
        </w:tabs>
        <w:ind w:left="360" w:hanging="360"/>
      </w:p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E1532EC"/>
    <w:multiLevelType w:val="multilevel"/>
    <w:tmpl w:val="0409001D"/>
    <w:styleLink w:val="A1ai"/>
    <w:lvl w:ilvl="0">
      <w:start w:val="1"/>
      <w:numFmt w:val="decimal"/>
      <w:lvlText w:val="%1)"/>
      <w:lvlJc w:val="left"/>
      <w:pPr>
        <w:tabs>
          <w:tab w:val="num" w:pos="360"/>
        </w:tabs>
        <w:ind w:left="360" w:hanging="360"/>
      </w:pPr>
      <w:rPr>
        <w:color w:val="3366FF"/>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18435F"/>
    <w:multiLevelType w:val="hybridMultilevel"/>
    <w:tmpl w:val="CBD8CDF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C359D4"/>
    <w:multiLevelType w:val="hybridMultilevel"/>
    <w:tmpl w:val="B0D454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60514E46"/>
    <w:multiLevelType w:val="hybridMultilevel"/>
    <w:tmpl w:val="3A7C15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40FB8"/>
    <w:multiLevelType w:val="hybridMultilevel"/>
    <w:tmpl w:val="92D460B8"/>
    <w:lvl w:ilvl="0" w:tplc="3DFA3028">
      <w:start w:val="1"/>
      <w:numFmt w:val="bullet"/>
      <w:lvlText w:val=""/>
      <w:lvlJc w:val="left"/>
      <w:pPr>
        <w:tabs>
          <w:tab w:val="num" w:pos="504"/>
        </w:tabs>
        <w:ind w:left="504" w:hanging="432"/>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7">
    <w:nsid w:val="64E329E5"/>
    <w:multiLevelType w:val="hybridMultilevel"/>
    <w:tmpl w:val="EDBCCEF4"/>
    <w:lvl w:ilvl="0" w:tplc="96081A26">
      <w:start w:val="1"/>
      <w:numFmt w:val="bullet"/>
      <w:lvlText w:val=""/>
      <w:lvlJc w:val="left"/>
      <w:pPr>
        <w:tabs>
          <w:tab w:val="num" w:pos="360"/>
        </w:tabs>
        <w:ind w:left="432" w:hanging="288"/>
      </w:pPr>
      <w:rPr>
        <w:rFonts w:ascii="Symbol" w:hAnsi="Symbol" w:hint="default"/>
      </w:rPr>
    </w:lvl>
    <w:lvl w:ilvl="1" w:tplc="384E66DC">
      <w:start w:val="1"/>
      <w:numFmt w:val="bullet"/>
      <w:lvlText w:val=""/>
      <w:lvlJc w:val="left"/>
      <w:pPr>
        <w:tabs>
          <w:tab w:val="num" w:pos="1512"/>
        </w:tabs>
        <w:ind w:left="1512" w:hanging="72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nsid w:val="78884291"/>
    <w:multiLevelType w:val="hybridMultilevel"/>
    <w:tmpl w:val="021C6B42"/>
    <w:lvl w:ilvl="0" w:tplc="45E28558">
      <w:start w:val="1"/>
      <w:numFmt w:val="bullet"/>
      <w:lvlText w:val=""/>
      <w:lvlJc w:val="left"/>
      <w:pPr>
        <w:tabs>
          <w:tab w:val="num" w:pos="432"/>
        </w:tabs>
        <w:ind w:left="504" w:hanging="360"/>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9">
    <w:nsid w:val="7EC3599C"/>
    <w:multiLevelType w:val="hybridMultilevel"/>
    <w:tmpl w:val="DD8C0300"/>
    <w:lvl w:ilvl="0" w:tplc="2926DD14">
      <w:start w:val="1"/>
      <w:numFmt w:val="bullet"/>
      <w:lvlText w:val=""/>
      <w:lvlJc w:val="left"/>
      <w:pPr>
        <w:tabs>
          <w:tab w:val="num" w:pos="360"/>
        </w:tabs>
        <w:ind w:left="432" w:hanging="360"/>
      </w:pPr>
      <w:rPr>
        <w:rFonts w:ascii="Symbol" w:hAnsi="Symbol" w:hint="default"/>
      </w:rPr>
    </w:lvl>
    <w:lvl w:ilvl="1" w:tplc="384E66DC">
      <w:start w:val="1"/>
      <w:numFmt w:val="bullet"/>
      <w:lvlText w:val=""/>
      <w:lvlJc w:val="left"/>
      <w:pPr>
        <w:tabs>
          <w:tab w:val="num" w:pos="1584"/>
        </w:tabs>
        <w:ind w:left="1584" w:hanging="72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12"/>
  </w:num>
  <w:num w:numId="2">
    <w:abstractNumId w:val="15"/>
  </w:num>
  <w:num w:numId="3">
    <w:abstractNumId w:val="11"/>
  </w:num>
  <w:num w:numId="4">
    <w:abstractNumId w:val="3"/>
  </w:num>
  <w:num w:numId="5">
    <w:abstractNumId w:val="13"/>
  </w:num>
  <w:num w:numId="6">
    <w:abstractNumId w:val="5"/>
  </w:num>
  <w:num w:numId="7">
    <w:abstractNumId w:val="9"/>
  </w:num>
  <w:num w:numId="8">
    <w:abstractNumId w:val="2"/>
  </w:num>
  <w:num w:numId="9">
    <w:abstractNumId w:val="16"/>
  </w:num>
  <w:num w:numId="10">
    <w:abstractNumId w:val="6"/>
  </w:num>
  <w:num w:numId="11">
    <w:abstractNumId w:val="1"/>
  </w:num>
  <w:num w:numId="12">
    <w:abstractNumId w:val="7"/>
  </w:num>
  <w:num w:numId="13">
    <w:abstractNumId w:val="18"/>
  </w:num>
  <w:num w:numId="14">
    <w:abstractNumId w:val="19"/>
  </w:num>
  <w:num w:numId="15">
    <w:abstractNumId w:val="10"/>
  </w:num>
  <w:num w:numId="16">
    <w:abstractNumId w:val="0"/>
  </w:num>
  <w:num w:numId="17">
    <w:abstractNumId w:val="17"/>
  </w:num>
  <w:num w:numId="18">
    <w:abstractNumId w:val="14"/>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rokecolor="#969696">
      <v:stroke color="#969696"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7B"/>
    <w:rsid w:val="00004A1C"/>
    <w:rsid w:val="00010193"/>
    <w:rsid w:val="000151B0"/>
    <w:rsid w:val="0002653C"/>
    <w:rsid w:val="00042C5F"/>
    <w:rsid w:val="000619A3"/>
    <w:rsid w:val="00064A44"/>
    <w:rsid w:val="0007172D"/>
    <w:rsid w:val="00072C1C"/>
    <w:rsid w:val="000841A4"/>
    <w:rsid w:val="00093AC8"/>
    <w:rsid w:val="00093FA5"/>
    <w:rsid w:val="0009639D"/>
    <w:rsid w:val="000B03C0"/>
    <w:rsid w:val="000C2073"/>
    <w:rsid w:val="000C2F70"/>
    <w:rsid w:val="000D66E3"/>
    <w:rsid w:val="000E32CD"/>
    <w:rsid w:val="000E70B4"/>
    <w:rsid w:val="000F2D21"/>
    <w:rsid w:val="000F6786"/>
    <w:rsid w:val="00103875"/>
    <w:rsid w:val="00104804"/>
    <w:rsid w:val="0011052A"/>
    <w:rsid w:val="00112F26"/>
    <w:rsid w:val="0013154E"/>
    <w:rsid w:val="0013222B"/>
    <w:rsid w:val="00145A31"/>
    <w:rsid w:val="00163076"/>
    <w:rsid w:val="001648F0"/>
    <w:rsid w:val="00170AA8"/>
    <w:rsid w:val="001719AD"/>
    <w:rsid w:val="00173D35"/>
    <w:rsid w:val="001755A4"/>
    <w:rsid w:val="00193F69"/>
    <w:rsid w:val="001A3558"/>
    <w:rsid w:val="001C1252"/>
    <w:rsid w:val="001C3172"/>
    <w:rsid w:val="001C716E"/>
    <w:rsid w:val="001D5612"/>
    <w:rsid w:val="001D7658"/>
    <w:rsid w:val="001F4352"/>
    <w:rsid w:val="0021439E"/>
    <w:rsid w:val="002251BA"/>
    <w:rsid w:val="00243073"/>
    <w:rsid w:val="00243809"/>
    <w:rsid w:val="00270873"/>
    <w:rsid w:val="00291950"/>
    <w:rsid w:val="00293E5D"/>
    <w:rsid w:val="00297AE9"/>
    <w:rsid w:val="002A2FE3"/>
    <w:rsid w:val="002A4648"/>
    <w:rsid w:val="002B2428"/>
    <w:rsid w:val="002B30E2"/>
    <w:rsid w:val="002B4ED6"/>
    <w:rsid w:val="002C6185"/>
    <w:rsid w:val="002D282D"/>
    <w:rsid w:val="002D2AF6"/>
    <w:rsid w:val="002D590E"/>
    <w:rsid w:val="002E7CD2"/>
    <w:rsid w:val="002F3719"/>
    <w:rsid w:val="002F73FF"/>
    <w:rsid w:val="00313B11"/>
    <w:rsid w:val="003150C0"/>
    <w:rsid w:val="00316CE2"/>
    <w:rsid w:val="00335BB6"/>
    <w:rsid w:val="00340C70"/>
    <w:rsid w:val="0034417D"/>
    <w:rsid w:val="00350145"/>
    <w:rsid w:val="00354266"/>
    <w:rsid w:val="00355D38"/>
    <w:rsid w:val="00373A0C"/>
    <w:rsid w:val="00377EE2"/>
    <w:rsid w:val="003906C7"/>
    <w:rsid w:val="003936D8"/>
    <w:rsid w:val="003D53AD"/>
    <w:rsid w:val="003E6294"/>
    <w:rsid w:val="003F0E03"/>
    <w:rsid w:val="003F2B91"/>
    <w:rsid w:val="003F38AA"/>
    <w:rsid w:val="00431615"/>
    <w:rsid w:val="00435CC6"/>
    <w:rsid w:val="004408A6"/>
    <w:rsid w:val="00450EF6"/>
    <w:rsid w:val="00452F87"/>
    <w:rsid w:val="00464275"/>
    <w:rsid w:val="00465A55"/>
    <w:rsid w:val="00467B53"/>
    <w:rsid w:val="00471F23"/>
    <w:rsid w:val="00477B4B"/>
    <w:rsid w:val="00495198"/>
    <w:rsid w:val="004A3697"/>
    <w:rsid w:val="004B0D8E"/>
    <w:rsid w:val="004B1B20"/>
    <w:rsid w:val="004B3090"/>
    <w:rsid w:val="004B354A"/>
    <w:rsid w:val="004C111F"/>
    <w:rsid w:val="004C2FAE"/>
    <w:rsid w:val="004C67AB"/>
    <w:rsid w:val="004D329C"/>
    <w:rsid w:val="004E0A03"/>
    <w:rsid w:val="004E198E"/>
    <w:rsid w:val="004F2948"/>
    <w:rsid w:val="004F6DEB"/>
    <w:rsid w:val="005007BE"/>
    <w:rsid w:val="005263CA"/>
    <w:rsid w:val="00545226"/>
    <w:rsid w:val="00550AE3"/>
    <w:rsid w:val="00556680"/>
    <w:rsid w:val="00567219"/>
    <w:rsid w:val="005936EF"/>
    <w:rsid w:val="005944B7"/>
    <w:rsid w:val="005A0853"/>
    <w:rsid w:val="005A1DEF"/>
    <w:rsid w:val="005A6151"/>
    <w:rsid w:val="005B2EDF"/>
    <w:rsid w:val="005B68C4"/>
    <w:rsid w:val="005C33E3"/>
    <w:rsid w:val="005C3776"/>
    <w:rsid w:val="005D2346"/>
    <w:rsid w:val="005D3B89"/>
    <w:rsid w:val="005E4C96"/>
    <w:rsid w:val="005F4656"/>
    <w:rsid w:val="005F636F"/>
    <w:rsid w:val="006037A1"/>
    <w:rsid w:val="0060548F"/>
    <w:rsid w:val="006277E6"/>
    <w:rsid w:val="00632049"/>
    <w:rsid w:val="006352F5"/>
    <w:rsid w:val="00640C56"/>
    <w:rsid w:val="00643DBE"/>
    <w:rsid w:val="00652377"/>
    <w:rsid w:val="00652779"/>
    <w:rsid w:val="006624FD"/>
    <w:rsid w:val="006629F9"/>
    <w:rsid w:val="00666CBE"/>
    <w:rsid w:val="00697556"/>
    <w:rsid w:val="006C0926"/>
    <w:rsid w:val="006C127B"/>
    <w:rsid w:val="006C750D"/>
    <w:rsid w:val="006D199B"/>
    <w:rsid w:val="00705D02"/>
    <w:rsid w:val="00707202"/>
    <w:rsid w:val="00711BDB"/>
    <w:rsid w:val="0072020B"/>
    <w:rsid w:val="00721364"/>
    <w:rsid w:val="00750FAD"/>
    <w:rsid w:val="007569A3"/>
    <w:rsid w:val="007608C2"/>
    <w:rsid w:val="00761E45"/>
    <w:rsid w:val="00763F92"/>
    <w:rsid w:val="00765788"/>
    <w:rsid w:val="0077259D"/>
    <w:rsid w:val="007920F6"/>
    <w:rsid w:val="007B0323"/>
    <w:rsid w:val="007D497F"/>
    <w:rsid w:val="007D5E40"/>
    <w:rsid w:val="007E0E54"/>
    <w:rsid w:val="007F0533"/>
    <w:rsid w:val="007F7783"/>
    <w:rsid w:val="0080075D"/>
    <w:rsid w:val="00811E1F"/>
    <w:rsid w:val="00812983"/>
    <w:rsid w:val="008248B3"/>
    <w:rsid w:val="00827C52"/>
    <w:rsid w:val="00841568"/>
    <w:rsid w:val="0084231E"/>
    <w:rsid w:val="008523CD"/>
    <w:rsid w:val="0086764B"/>
    <w:rsid w:val="00872EB9"/>
    <w:rsid w:val="00884438"/>
    <w:rsid w:val="00890AB1"/>
    <w:rsid w:val="008A6715"/>
    <w:rsid w:val="008B2908"/>
    <w:rsid w:val="008C2476"/>
    <w:rsid w:val="008C43E7"/>
    <w:rsid w:val="008C4DD0"/>
    <w:rsid w:val="008F2EC2"/>
    <w:rsid w:val="0090125A"/>
    <w:rsid w:val="00902AFE"/>
    <w:rsid w:val="00905977"/>
    <w:rsid w:val="00911C58"/>
    <w:rsid w:val="0091269B"/>
    <w:rsid w:val="00913AF8"/>
    <w:rsid w:val="00916A61"/>
    <w:rsid w:val="00935F4D"/>
    <w:rsid w:val="00942054"/>
    <w:rsid w:val="009429D4"/>
    <w:rsid w:val="0094547F"/>
    <w:rsid w:val="00951FC9"/>
    <w:rsid w:val="00952956"/>
    <w:rsid w:val="00960B98"/>
    <w:rsid w:val="00965CCA"/>
    <w:rsid w:val="00972EAF"/>
    <w:rsid w:val="00973979"/>
    <w:rsid w:val="00977838"/>
    <w:rsid w:val="009A4C14"/>
    <w:rsid w:val="009B7600"/>
    <w:rsid w:val="009C5D57"/>
    <w:rsid w:val="009D58B9"/>
    <w:rsid w:val="009F7F6A"/>
    <w:rsid w:val="00A02A18"/>
    <w:rsid w:val="00A1573D"/>
    <w:rsid w:val="00A257A5"/>
    <w:rsid w:val="00A25AE1"/>
    <w:rsid w:val="00A26219"/>
    <w:rsid w:val="00A308FD"/>
    <w:rsid w:val="00A34C85"/>
    <w:rsid w:val="00A35037"/>
    <w:rsid w:val="00A61CC4"/>
    <w:rsid w:val="00A82FB6"/>
    <w:rsid w:val="00A8729D"/>
    <w:rsid w:val="00AA34AD"/>
    <w:rsid w:val="00AD7A96"/>
    <w:rsid w:val="00AE3193"/>
    <w:rsid w:val="00AE3714"/>
    <w:rsid w:val="00AF1A53"/>
    <w:rsid w:val="00B0188B"/>
    <w:rsid w:val="00B116AC"/>
    <w:rsid w:val="00B15775"/>
    <w:rsid w:val="00B176B9"/>
    <w:rsid w:val="00B20A80"/>
    <w:rsid w:val="00B27618"/>
    <w:rsid w:val="00B353C1"/>
    <w:rsid w:val="00B35F63"/>
    <w:rsid w:val="00B40AB7"/>
    <w:rsid w:val="00B415CD"/>
    <w:rsid w:val="00B41A84"/>
    <w:rsid w:val="00B50AAF"/>
    <w:rsid w:val="00B52747"/>
    <w:rsid w:val="00B561C6"/>
    <w:rsid w:val="00B610FB"/>
    <w:rsid w:val="00B70605"/>
    <w:rsid w:val="00B72A17"/>
    <w:rsid w:val="00B87D93"/>
    <w:rsid w:val="00BC1C80"/>
    <w:rsid w:val="00BC491E"/>
    <w:rsid w:val="00BD01E5"/>
    <w:rsid w:val="00BD1E7B"/>
    <w:rsid w:val="00BE29C6"/>
    <w:rsid w:val="00BE44BE"/>
    <w:rsid w:val="00BE55AD"/>
    <w:rsid w:val="00BF000D"/>
    <w:rsid w:val="00BF0088"/>
    <w:rsid w:val="00BF6AD7"/>
    <w:rsid w:val="00C16406"/>
    <w:rsid w:val="00C25C10"/>
    <w:rsid w:val="00C33A72"/>
    <w:rsid w:val="00C36FAB"/>
    <w:rsid w:val="00C40E3C"/>
    <w:rsid w:val="00C54E8F"/>
    <w:rsid w:val="00C60B4A"/>
    <w:rsid w:val="00C85F24"/>
    <w:rsid w:val="00C97AD9"/>
    <w:rsid w:val="00CA15A3"/>
    <w:rsid w:val="00CB2C0D"/>
    <w:rsid w:val="00CC1E10"/>
    <w:rsid w:val="00CD6963"/>
    <w:rsid w:val="00CE0856"/>
    <w:rsid w:val="00CE5812"/>
    <w:rsid w:val="00CF1E9A"/>
    <w:rsid w:val="00D04FC5"/>
    <w:rsid w:val="00D05D95"/>
    <w:rsid w:val="00D06EF5"/>
    <w:rsid w:val="00D14C61"/>
    <w:rsid w:val="00D25C2C"/>
    <w:rsid w:val="00D40DC8"/>
    <w:rsid w:val="00D42632"/>
    <w:rsid w:val="00D428A4"/>
    <w:rsid w:val="00D43DA7"/>
    <w:rsid w:val="00D44A5F"/>
    <w:rsid w:val="00D46E51"/>
    <w:rsid w:val="00D4709F"/>
    <w:rsid w:val="00D50CB4"/>
    <w:rsid w:val="00D70A4B"/>
    <w:rsid w:val="00D9625D"/>
    <w:rsid w:val="00DA50B9"/>
    <w:rsid w:val="00DB1BCE"/>
    <w:rsid w:val="00DB661D"/>
    <w:rsid w:val="00DB7AC2"/>
    <w:rsid w:val="00DC0EC4"/>
    <w:rsid w:val="00DC2183"/>
    <w:rsid w:val="00DC619B"/>
    <w:rsid w:val="00DD3DF8"/>
    <w:rsid w:val="00DE160A"/>
    <w:rsid w:val="00DE4D8A"/>
    <w:rsid w:val="00DF61FA"/>
    <w:rsid w:val="00E122EC"/>
    <w:rsid w:val="00E1406C"/>
    <w:rsid w:val="00E14F7B"/>
    <w:rsid w:val="00E32FF9"/>
    <w:rsid w:val="00E41127"/>
    <w:rsid w:val="00E42836"/>
    <w:rsid w:val="00E43816"/>
    <w:rsid w:val="00E6286C"/>
    <w:rsid w:val="00E803C3"/>
    <w:rsid w:val="00E834D7"/>
    <w:rsid w:val="00E9171C"/>
    <w:rsid w:val="00E92661"/>
    <w:rsid w:val="00E9384B"/>
    <w:rsid w:val="00E93E0E"/>
    <w:rsid w:val="00E97806"/>
    <w:rsid w:val="00EC04DB"/>
    <w:rsid w:val="00EC7537"/>
    <w:rsid w:val="00ED159C"/>
    <w:rsid w:val="00EE6031"/>
    <w:rsid w:val="00EF3A56"/>
    <w:rsid w:val="00F126D9"/>
    <w:rsid w:val="00F2175B"/>
    <w:rsid w:val="00F245B7"/>
    <w:rsid w:val="00F25F89"/>
    <w:rsid w:val="00F25F90"/>
    <w:rsid w:val="00F31681"/>
    <w:rsid w:val="00F35796"/>
    <w:rsid w:val="00F50A15"/>
    <w:rsid w:val="00F7093C"/>
    <w:rsid w:val="00F70EEB"/>
    <w:rsid w:val="00F87E9A"/>
    <w:rsid w:val="00F900B2"/>
    <w:rsid w:val="00F9238D"/>
    <w:rsid w:val="00F92D23"/>
    <w:rsid w:val="00F9726A"/>
    <w:rsid w:val="00FA24C9"/>
    <w:rsid w:val="00FA3A67"/>
    <w:rsid w:val="00FB7065"/>
    <w:rsid w:val="00FC0441"/>
    <w:rsid w:val="00FD6289"/>
    <w:rsid w:val="00FE5757"/>
    <w:rsid w:val="00FE621D"/>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9696">
      <v:stroke color="#969696"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0C56"/>
    <w:pPr>
      <w:keepNext/>
      <w:spacing w:line="360" w:lineRule="auto"/>
      <w:jc w:val="center"/>
      <w:outlineLvl w:val="0"/>
    </w:pPr>
    <w:rPr>
      <w:b/>
      <w:bCs/>
    </w:rPr>
  </w:style>
  <w:style w:type="paragraph" w:styleId="Heading3">
    <w:name w:val="heading 3"/>
    <w:basedOn w:val="Normal"/>
    <w:next w:val="Normal"/>
    <w:qFormat/>
    <w:rsid w:val="00291950"/>
    <w:pPr>
      <w:keepNext/>
      <w:numPr>
        <w:numId w:val="3"/>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1ai">
    <w:name w:val="A/1/a/i"/>
    <w:rsid w:val="00173D35"/>
    <w:pPr>
      <w:numPr>
        <w:numId w:val="1"/>
      </w:numPr>
    </w:pPr>
  </w:style>
  <w:style w:type="paragraph" w:styleId="FootnoteText">
    <w:name w:val="footnote text"/>
    <w:basedOn w:val="Normal"/>
    <w:semiHidden/>
    <w:rsid w:val="009F7F6A"/>
    <w:rPr>
      <w:sz w:val="20"/>
      <w:szCs w:val="20"/>
    </w:rPr>
  </w:style>
  <w:style w:type="character" w:styleId="FootnoteReference">
    <w:name w:val="footnote reference"/>
    <w:basedOn w:val="DefaultParagraphFont"/>
    <w:semiHidden/>
    <w:rsid w:val="009F7F6A"/>
    <w:rPr>
      <w:vertAlign w:val="superscript"/>
    </w:rPr>
  </w:style>
  <w:style w:type="character" w:styleId="CommentReference">
    <w:name w:val="annotation reference"/>
    <w:basedOn w:val="DefaultParagraphFont"/>
    <w:semiHidden/>
    <w:rsid w:val="00BC491E"/>
    <w:rPr>
      <w:sz w:val="16"/>
      <w:szCs w:val="16"/>
    </w:rPr>
  </w:style>
  <w:style w:type="paragraph" w:styleId="CommentText">
    <w:name w:val="annotation text"/>
    <w:basedOn w:val="Normal"/>
    <w:semiHidden/>
    <w:rsid w:val="00BC491E"/>
    <w:rPr>
      <w:sz w:val="20"/>
      <w:szCs w:val="20"/>
    </w:rPr>
  </w:style>
  <w:style w:type="paragraph" w:styleId="CommentSubject">
    <w:name w:val="annotation subject"/>
    <w:basedOn w:val="CommentText"/>
    <w:next w:val="CommentText"/>
    <w:semiHidden/>
    <w:rsid w:val="00BC491E"/>
    <w:rPr>
      <w:b/>
      <w:bCs/>
    </w:rPr>
  </w:style>
  <w:style w:type="paragraph" w:styleId="BalloonText">
    <w:name w:val="Balloon Text"/>
    <w:basedOn w:val="Normal"/>
    <w:semiHidden/>
    <w:rsid w:val="00BC491E"/>
    <w:rPr>
      <w:rFonts w:ascii="Tahoma" w:hAnsi="Tahoma" w:cs="Tahoma"/>
      <w:sz w:val="16"/>
      <w:szCs w:val="16"/>
    </w:rPr>
  </w:style>
  <w:style w:type="table" w:styleId="TableGrid">
    <w:name w:val="Table Grid"/>
    <w:basedOn w:val="TableNormal"/>
    <w:rsid w:val="0065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3090"/>
    <w:pPr>
      <w:tabs>
        <w:tab w:val="center" w:pos="4320"/>
        <w:tab w:val="right" w:pos="8640"/>
      </w:tabs>
    </w:pPr>
  </w:style>
  <w:style w:type="character" w:styleId="PageNumber">
    <w:name w:val="page number"/>
    <w:basedOn w:val="DefaultParagraphFont"/>
    <w:rsid w:val="004B3090"/>
  </w:style>
  <w:style w:type="paragraph" w:styleId="Header">
    <w:name w:val="header"/>
    <w:basedOn w:val="Normal"/>
    <w:rsid w:val="004B3090"/>
    <w:pPr>
      <w:tabs>
        <w:tab w:val="center" w:pos="4320"/>
        <w:tab w:val="right" w:pos="8640"/>
      </w:tabs>
    </w:pPr>
  </w:style>
  <w:style w:type="character" w:styleId="Hyperlink">
    <w:name w:val="Hyperlink"/>
    <w:basedOn w:val="DefaultParagraphFont"/>
    <w:rsid w:val="00291950"/>
    <w:rPr>
      <w:color w:val="0000FF"/>
      <w:u w:val="single"/>
    </w:rPr>
  </w:style>
  <w:style w:type="paragraph" w:styleId="Title">
    <w:name w:val="Title"/>
    <w:basedOn w:val="Normal"/>
    <w:qFormat/>
    <w:rsid w:val="00291950"/>
    <w:pPr>
      <w:jc w:val="center"/>
    </w:pPr>
    <w:rPr>
      <w:b/>
      <w:bCs/>
    </w:rPr>
  </w:style>
  <w:style w:type="paragraph" w:styleId="ListParagraph">
    <w:name w:val="List Paragraph"/>
    <w:basedOn w:val="Normal"/>
    <w:uiPriority w:val="34"/>
    <w:qFormat/>
    <w:rsid w:val="00750FAD"/>
    <w:pPr>
      <w:ind w:left="720"/>
      <w:contextualSpacing/>
    </w:pPr>
  </w:style>
  <w:style w:type="paragraph" w:styleId="NoSpacing">
    <w:name w:val="No Spacing"/>
    <w:uiPriority w:val="1"/>
    <w:qFormat/>
    <w:rsid w:val="00812983"/>
    <w:rPr>
      <w:sz w:val="24"/>
      <w:szCs w:val="24"/>
    </w:rPr>
  </w:style>
  <w:style w:type="table" w:customStyle="1" w:styleId="TableGrid1">
    <w:name w:val="Table Grid1"/>
    <w:basedOn w:val="TableNormal"/>
    <w:next w:val="TableGrid"/>
    <w:uiPriority w:val="59"/>
    <w:rsid w:val="00C60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B5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0C56"/>
    <w:pPr>
      <w:keepNext/>
      <w:spacing w:line="360" w:lineRule="auto"/>
      <w:jc w:val="center"/>
      <w:outlineLvl w:val="0"/>
    </w:pPr>
    <w:rPr>
      <w:b/>
      <w:bCs/>
    </w:rPr>
  </w:style>
  <w:style w:type="paragraph" w:styleId="Heading3">
    <w:name w:val="heading 3"/>
    <w:basedOn w:val="Normal"/>
    <w:next w:val="Normal"/>
    <w:qFormat/>
    <w:rsid w:val="00291950"/>
    <w:pPr>
      <w:keepNext/>
      <w:numPr>
        <w:numId w:val="3"/>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1ai">
    <w:name w:val="A/1/a/i"/>
    <w:rsid w:val="00173D35"/>
    <w:pPr>
      <w:numPr>
        <w:numId w:val="1"/>
      </w:numPr>
    </w:pPr>
  </w:style>
  <w:style w:type="paragraph" w:styleId="FootnoteText">
    <w:name w:val="footnote text"/>
    <w:basedOn w:val="Normal"/>
    <w:semiHidden/>
    <w:rsid w:val="009F7F6A"/>
    <w:rPr>
      <w:sz w:val="20"/>
      <w:szCs w:val="20"/>
    </w:rPr>
  </w:style>
  <w:style w:type="character" w:styleId="FootnoteReference">
    <w:name w:val="footnote reference"/>
    <w:basedOn w:val="DefaultParagraphFont"/>
    <w:semiHidden/>
    <w:rsid w:val="009F7F6A"/>
    <w:rPr>
      <w:vertAlign w:val="superscript"/>
    </w:rPr>
  </w:style>
  <w:style w:type="character" w:styleId="CommentReference">
    <w:name w:val="annotation reference"/>
    <w:basedOn w:val="DefaultParagraphFont"/>
    <w:semiHidden/>
    <w:rsid w:val="00BC491E"/>
    <w:rPr>
      <w:sz w:val="16"/>
      <w:szCs w:val="16"/>
    </w:rPr>
  </w:style>
  <w:style w:type="paragraph" w:styleId="CommentText">
    <w:name w:val="annotation text"/>
    <w:basedOn w:val="Normal"/>
    <w:semiHidden/>
    <w:rsid w:val="00BC491E"/>
    <w:rPr>
      <w:sz w:val="20"/>
      <w:szCs w:val="20"/>
    </w:rPr>
  </w:style>
  <w:style w:type="paragraph" w:styleId="CommentSubject">
    <w:name w:val="annotation subject"/>
    <w:basedOn w:val="CommentText"/>
    <w:next w:val="CommentText"/>
    <w:semiHidden/>
    <w:rsid w:val="00BC491E"/>
    <w:rPr>
      <w:b/>
      <w:bCs/>
    </w:rPr>
  </w:style>
  <w:style w:type="paragraph" w:styleId="BalloonText">
    <w:name w:val="Balloon Text"/>
    <w:basedOn w:val="Normal"/>
    <w:semiHidden/>
    <w:rsid w:val="00BC491E"/>
    <w:rPr>
      <w:rFonts w:ascii="Tahoma" w:hAnsi="Tahoma" w:cs="Tahoma"/>
      <w:sz w:val="16"/>
      <w:szCs w:val="16"/>
    </w:rPr>
  </w:style>
  <w:style w:type="table" w:styleId="TableGrid">
    <w:name w:val="Table Grid"/>
    <w:basedOn w:val="TableNormal"/>
    <w:rsid w:val="0065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3090"/>
    <w:pPr>
      <w:tabs>
        <w:tab w:val="center" w:pos="4320"/>
        <w:tab w:val="right" w:pos="8640"/>
      </w:tabs>
    </w:pPr>
  </w:style>
  <w:style w:type="character" w:styleId="PageNumber">
    <w:name w:val="page number"/>
    <w:basedOn w:val="DefaultParagraphFont"/>
    <w:rsid w:val="004B3090"/>
  </w:style>
  <w:style w:type="paragraph" w:styleId="Header">
    <w:name w:val="header"/>
    <w:basedOn w:val="Normal"/>
    <w:rsid w:val="004B3090"/>
    <w:pPr>
      <w:tabs>
        <w:tab w:val="center" w:pos="4320"/>
        <w:tab w:val="right" w:pos="8640"/>
      </w:tabs>
    </w:pPr>
  </w:style>
  <w:style w:type="character" w:styleId="Hyperlink">
    <w:name w:val="Hyperlink"/>
    <w:basedOn w:val="DefaultParagraphFont"/>
    <w:rsid w:val="00291950"/>
    <w:rPr>
      <w:color w:val="0000FF"/>
      <w:u w:val="single"/>
    </w:rPr>
  </w:style>
  <w:style w:type="paragraph" w:styleId="Title">
    <w:name w:val="Title"/>
    <w:basedOn w:val="Normal"/>
    <w:qFormat/>
    <w:rsid w:val="00291950"/>
    <w:pPr>
      <w:jc w:val="center"/>
    </w:pPr>
    <w:rPr>
      <w:b/>
      <w:bCs/>
    </w:rPr>
  </w:style>
  <w:style w:type="paragraph" w:styleId="ListParagraph">
    <w:name w:val="List Paragraph"/>
    <w:basedOn w:val="Normal"/>
    <w:uiPriority w:val="34"/>
    <w:qFormat/>
    <w:rsid w:val="00750FAD"/>
    <w:pPr>
      <w:ind w:left="720"/>
      <w:contextualSpacing/>
    </w:pPr>
  </w:style>
  <w:style w:type="paragraph" w:styleId="NoSpacing">
    <w:name w:val="No Spacing"/>
    <w:uiPriority w:val="1"/>
    <w:qFormat/>
    <w:rsid w:val="00812983"/>
    <w:rPr>
      <w:sz w:val="24"/>
      <w:szCs w:val="24"/>
    </w:rPr>
  </w:style>
  <w:style w:type="table" w:customStyle="1" w:styleId="TableGrid1">
    <w:name w:val="Table Grid1"/>
    <w:basedOn w:val="TableNormal"/>
    <w:next w:val="TableGrid"/>
    <w:uiPriority w:val="59"/>
    <w:rsid w:val="00C60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B5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43289148868452748"/>
          <c:y val="0.36944098908245931"/>
          <c:w val="0.40516588689636807"/>
          <c:h val="0.63026526656100623"/>
        </c:manualLayout>
      </c:layout>
      <c:doughnutChart>
        <c:varyColors val="1"/>
        <c:ser>
          <c:idx val="0"/>
          <c:order val="0"/>
          <c:tx>
            <c:strRef>
              <c:f>Sheet1!$B$1</c:f>
              <c:strCache>
                <c:ptCount val="1"/>
                <c:pt idx="0">
                  <c:v>Construction Management Program Assessment Cycle</c:v>
                </c:pt>
              </c:strCache>
            </c:strRef>
          </c:tx>
          <c:dLbls>
            <c:dLbl>
              <c:idx val="0"/>
              <c:layout>
                <c:manualLayout>
                  <c:x val="1.4433552082555371E-2"/>
                  <c:y val="-5.4526756246457905E-2"/>
                </c:manualLayout>
              </c:layout>
              <c:showLegendKey val="0"/>
              <c:showVal val="0"/>
              <c:showCatName val="1"/>
              <c:showSerName val="0"/>
              <c:showPercent val="0"/>
              <c:showBubbleSize val="0"/>
            </c:dLbl>
            <c:dLbl>
              <c:idx val="1"/>
              <c:layout>
                <c:manualLayout>
                  <c:x val="2.0619360117936171E-2"/>
                  <c:y val="-2.5659649998333135E-2"/>
                </c:manualLayout>
              </c:layout>
              <c:showLegendKey val="0"/>
              <c:showVal val="0"/>
              <c:showCatName val="1"/>
              <c:showSerName val="0"/>
              <c:showPercent val="0"/>
              <c:showBubbleSize val="0"/>
            </c:dLbl>
            <c:dLbl>
              <c:idx val="2"/>
              <c:layout>
                <c:manualLayout>
                  <c:x val="2.2681296129729946E-2"/>
                  <c:y val="-6.4149124995833418E-3"/>
                </c:manualLayout>
              </c:layout>
              <c:showLegendKey val="0"/>
              <c:showVal val="0"/>
              <c:showCatName val="1"/>
              <c:showSerName val="0"/>
              <c:showPercent val="0"/>
              <c:showBubbleSize val="0"/>
            </c:dLbl>
            <c:dLbl>
              <c:idx val="9"/>
              <c:layout>
                <c:manualLayout>
                  <c:x val="-2.0619360117936282E-2"/>
                  <c:y val="-6.4149124995834007E-3"/>
                </c:manualLayout>
              </c:layout>
              <c:showLegendKey val="0"/>
              <c:showVal val="0"/>
              <c:showCatName val="1"/>
              <c:showSerName val="0"/>
              <c:showPercent val="0"/>
              <c:showBubbleSize val="0"/>
            </c:dLbl>
            <c:dLbl>
              <c:idx val="10"/>
              <c:layout>
                <c:manualLayout>
                  <c:x val="-2.0619360117936244E-2"/>
                  <c:y val="-1.2829824999166567E-2"/>
                </c:manualLayout>
              </c:layout>
              <c:showLegendKey val="0"/>
              <c:showVal val="0"/>
              <c:showCatName val="1"/>
              <c:showSerName val="0"/>
              <c:showPercent val="0"/>
              <c:showBubbleSize val="0"/>
            </c:dLbl>
            <c:dLbl>
              <c:idx val="11"/>
              <c:layout>
                <c:manualLayout>
                  <c:x val="-8.2477440471744982E-3"/>
                  <c:y val="-6.0941668746041192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30</c:v>
                </c:pt>
                <c:pt idx="1">
                  <c:v>28</c:v>
                </c:pt>
                <c:pt idx="2">
                  <c:v>31</c:v>
                </c:pt>
                <c:pt idx="3">
                  <c:v>30</c:v>
                </c:pt>
                <c:pt idx="4">
                  <c:v>31</c:v>
                </c:pt>
                <c:pt idx="5">
                  <c:v>30</c:v>
                </c:pt>
                <c:pt idx="6">
                  <c:v>31</c:v>
                </c:pt>
                <c:pt idx="7">
                  <c:v>31</c:v>
                </c:pt>
                <c:pt idx="8">
                  <c:v>30</c:v>
                </c:pt>
                <c:pt idx="9">
                  <c:v>31</c:v>
                </c:pt>
                <c:pt idx="10">
                  <c:v>30</c:v>
                </c:pt>
                <c:pt idx="11">
                  <c:v>31</c:v>
                </c:pt>
              </c:numCache>
            </c:numRef>
          </c:val>
        </c:ser>
        <c:dLbls>
          <c:showLegendKey val="0"/>
          <c:showVal val="0"/>
          <c:showCatName val="0"/>
          <c:showSerName val="0"/>
          <c:showPercent val="0"/>
          <c:showBubbleSize val="0"/>
          <c:showLeaderLines val="1"/>
        </c:dLbls>
        <c:firstSliceAng val="0"/>
        <c:holeSize val="33"/>
      </c:doughnutChart>
    </c:plotArea>
    <c:plotVisOnly val="1"/>
    <c:dispBlanksAs val="gap"/>
    <c:showDLblsOverMax val="0"/>
  </c:chart>
  <c:spPr>
    <a:ln>
      <a:noFill/>
    </a:ln>
  </c:spPr>
  <c:txPr>
    <a:bodyPr/>
    <a:lstStyle/>
    <a:p>
      <a:pPr>
        <a:defRPr sz="9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0.36858</cdr:x>
      <cdr:y>0.07928</cdr:y>
    </cdr:from>
    <cdr:to>
      <cdr:x>0.81254</cdr:x>
      <cdr:y>0.20934</cdr:y>
    </cdr:to>
    <cdr:sp macro="" textlink="">
      <cdr:nvSpPr>
        <cdr:cNvPr id="3" name="Text Box 2"/>
        <cdr:cNvSpPr txBox="1">
          <a:spLocks xmlns:a="http://schemas.openxmlformats.org/drawingml/2006/main" noChangeArrowheads="1"/>
        </cdr:cNvSpPr>
      </cdr:nvSpPr>
      <cdr:spPr bwMode="auto">
        <a:xfrm xmlns:a="http://schemas.openxmlformats.org/drawingml/2006/main">
          <a:off x="2352658" y="313871"/>
          <a:ext cx="2833827" cy="51494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sz="900"/>
            <a:t>January 9:</a:t>
          </a:r>
        </a:p>
        <a:p xmlns:a="http://schemas.openxmlformats.org/drawingml/2006/main">
          <a:r>
            <a:rPr lang="en-US" sz="900"/>
            <a:t>SOE</a:t>
          </a:r>
          <a:r>
            <a:rPr lang="en-US" sz="900" baseline="0"/>
            <a:t> Dean signs and submits summary report to Provost</a:t>
          </a:r>
        </a:p>
      </cdr:txBody>
    </cdr:sp>
  </cdr:relSizeAnchor>
  <cdr:relSizeAnchor xmlns:cdr="http://schemas.openxmlformats.org/drawingml/2006/chartDrawing">
    <cdr:from>
      <cdr:x>0.72091</cdr:x>
      <cdr:y>0.23598</cdr:y>
    </cdr:from>
    <cdr:to>
      <cdr:x>1</cdr:x>
      <cdr:y>0.36604</cdr:y>
    </cdr:to>
    <cdr:sp macro="" textlink="">
      <cdr:nvSpPr>
        <cdr:cNvPr id="4" name="Text Box 1"/>
        <cdr:cNvSpPr txBox="1">
          <a:spLocks xmlns:a="http://schemas.openxmlformats.org/drawingml/2006/main" noChangeArrowheads="1"/>
        </cdr:cNvSpPr>
      </cdr:nvSpPr>
      <cdr:spPr bwMode="auto">
        <a:xfrm xmlns:a="http://schemas.openxmlformats.org/drawingml/2006/main">
          <a:off x="4440398" y="934288"/>
          <a:ext cx="1718862" cy="51494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sz="900"/>
            <a:t>January</a:t>
          </a:r>
          <a:r>
            <a:rPr lang="en-US" sz="900" baseline="0"/>
            <a:t> 22:</a:t>
          </a:r>
        </a:p>
        <a:p xmlns:a="http://schemas.openxmlformats.org/drawingml/2006/main">
          <a:r>
            <a:rPr lang="en-US" sz="900" baseline="0"/>
            <a:t>Provost posts summarized results to website</a:t>
          </a:r>
          <a:endParaRPr lang="en-US" sz="900"/>
        </a:p>
      </cdr:txBody>
    </cdr:sp>
  </cdr:relSizeAnchor>
  <cdr:relSizeAnchor xmlns:cdr="http://schemas.openxmlformats.org/drawingml/2006/chartDrawing">
    <cdr:from>
      <cdr:x>0.35363</cdr:x>
      <cdr:y>0.68851</cdr:y>
    </cdr:from>
    <cdr:to>
      <cdr:x>0.44787</cdr:x>
      <cdr:y>0.6994</cdr:y>
    </cdr:to>
    <cdr:cxnSp macro="">
      <cdr:nvCxnSpPr>
        <cdr:cNvPr id="6" name="Straight Arrow Connector 5"/>
        <cdr:cNvCxnSpPr/>
      </cdr:nvCxnSpPr>
      <cdr:spPr>
        <a:xfrm xmlns:a="http://schemas.openxmlformats.org/drawingml/2006/main" flipV="1">
          <a:off x="2397580" y="2725947"/>
          <a:ext cx="638918" cy="4313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0.37562</cdr:x>
      <cdr:y>0.49895</cdr:y>
    </cdr:from>
    <cdr:to>
      <cdr:x>0.47713</cdr:x>
      <cdr:y>0.52074</cdr:y>
    </cdr:to>
    <cdr:cxnSp macro="">
      <cdr:nvCxnSpPr>
        <cdr:cNvPr id="7" name="Straight Arrow Connector 6"/>
        <cdr:cNvCxnSpPr/>
      </cdr:nvCxnSpPr>
      <cdr:spPr>
        <a:xfrm xmlns:a="http://schemas.openxmlformats.org/drawingml/2006/main">
          <a:off x="2397580" y="1975449"/>
          <a:ext cx="647964" cy="8626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0.47162</cdr:x>
      <cdr:y>0.30503</cdr:y>
    </cdr:from>
    <cdr:to>
      <cdr:x>0.54326</cdr:x>
      <cdr:y>0.41833</cdr:y>
    </cdr:to>
    <cdr:cxnSp macro="">
      <cdr:nvCxnSpPr>
        <cdr:cNvPr id="8" name="Straight Arrow Connector 7"/>
        <cdr:cNvCxnSpPr/>
      </cdr:nvCxnSpPr>
      <cdr:spPr>
        <a:xfrm xmlns:a="http://schemas.openxmlformats.org/drawingml/2006/main">
          <a:off x="3010355" y="1207698"/>
          <a:ext cx="457256" cy="448573"/>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0.62302</cdr:x>
      <cdr:y>0.21134</cdr:y>
    </cdr:from>
    <cdr:to>
      <cdr:x>0.65526</cdr:x>
      <cdr:y>0.36679</cdr:y>
    </cdr:to>
    <cdr:cxnSp macro="">
      <cdr:nvCxnSpPr>
        <cdr:cNvPr id="9" name="Straight Arrow Connector 8"/>
        <cdr:cNvCxnSpPr/>
      </cdr:nvCxnSpPr>
      <cdr:spPr>
        <a:xfrm xmlns:a="http://schemas.openxmlformats.org/drawingml/2006/main">
          <a:off x="3976777" y="836762"/>
          <a:ext cx="205770" cy="61543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0.69979</cdr:x>
      <cdr:y>0.30101</cdr:y>
    </cdr:from>
    <cdr:to>
      <cdr:x>0.72091</cdr:x>
      <cdr:y>0.39219</cdr:y>
    </cdr:to>
    <cdr:cxnSp macro="">
      <cdr:nvCxnSpPr>
        <cdr:cNvPr id="10" name="Straight Arrow Connector 9"/>
        <cdr:cNvCxnSpPr>
          <a:stCxn xmlns:a="http://schemas.openxmlformats.org/drawingml/2006/main" id="4" idx="1"/>
        </cdr:cNvCxnSpPr>
      </cdr:nvCxnSpPr>
      <cdr:spPr>
        <a:xfrm xmlns:a="http://schemas.openxmlformats.org/drawingml/2006/main" flipH="1">
          <a:off x="4466797" y="1191763"/>
          <a:ext cx="134802" cy="36099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7018B21C</Template>
  <TotalTime>197</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vt:lpstr>
    </vt:vector>
  </TitlesOfParts>
  <Company>University of New Mexico</Company>
  <LinksUpToDate>false</LinksUpToDate>
  <CharactersWithSpaces>12095</CharactersWithSpaces>
  <SharedDoc>false</SharedDoc>
  <HLinks>
    <vt:vector size="12" baseType="variant">
      <vt:variant>
        <vt:i4>4784216</vt:i4>
      </vt:variant>
      <vt:variant>
        <vt:i4>6</vt:i4>
      </vt:variant>
      <vt:variant>
        <vt:i4>0</vt:i4>
      </vt:variant>
      <vt:variant>
        <vt:i4>5</vt:i4>
      </vt:variant>
      <vt:variant>
        <vt:lpwstr>http://www.unm.edu/~assess/ToolsAndTemplates.html</vt:lpwstr>
      </vt:variant>
      <vt:variant>
        <vt:lpwstr/>
      </vt:variant>
      <vt:variant>
        <vt:i4>8323139</vt:i4>
      </vt:variant>
      <vt:variant>
        <vt:i4>0</vt:i4>
      </vt:variant>
      <vt:variant>
        <vt:i4>0</vt:i4>
      </vt:variant>
      <vt:variant>
        <vt:i4>5</vt:i4>
      </vt:variant>
      <vt:variant>
        <vt:lpwstr>mailto:apr@ksu.edu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Tom L. Root</dc:creator>
  <cp:lastModifiedBy>Mark Daniel Russell</cp:lastModifiedBy>
  <cp:revision>7</cp:revision>
  <cp:lastPrinted>2013-12-10T17:02:00Z</cp:lastPrinted>
  <dcterms:created xsi:type="dcterms:W3CDTF">2014-09-30T20:20:00Z</dcterms:created>
  <dcterms:modified xsi:type="dcterms:W3CDTF">2014-10-11T21:42:00Z</dcterms:modified>
</cp:coreProperties>
</file>