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23" w:rsidRDefault="00A11C23" w:rsidP="00B5096B">
      <w:pPr>
        <w:shd w:val="clear" w:color="auto" w:fill="FFFEFA"/>
        <w:spacing w:after="300" w:line="240" w:lineRule="auto"/>
        <w:outlineLvl w:val="0"/>
        <w:rPr>
          <w:rFonts w:ascii="Times New Roman" w:eastAsia="Times New Roman" w:hAnsi="Times New Roman" w:cs="Times New Roman"/>
          <w:i/>
          <w:iCs/>
          <w:color w:val="464646"/>
          <w:kern w:val="36"/>
          <w:sz w:val="39"/>
          <w:szCs w:val="39"/>
        </w:rPr>
      </w:pPr>
      <w:r>
        <w:rPr>
          <w:rFonts w:ascii="Times New Roman" w:eastAsia="Times New Roman" w:hAnsi="Times New Roman" w:cs="Times New Roman"/>
          <w:i/>
          <w:iCs/>
          <w:color w:val="464646"/>
          <w:kern w:val="36"/>
          <w:sz w:val="39"/>
          <w:szCs w:val="39"/>
        </w:rPr>
        <w:t>Student Achievements</w:t>
      </w:r>
    </w:p>
    <w:p w:rsidR="00B5096B" w:rsidRPr="00B5096B" w:rsidRDefault="00A11C23" w:rsidP="00B5096B">
      <w:pPr>
        <w:shd w:val="clear" w:color="auto" w:fill="FFFEFA"/>
        <w:spacing w:after="300" w:line="240" w:lineRule="auto"/>
        <w:outlineLvl w:val="0"/>
        <w:rPr>
          <w:rFonts w:ascii="Times New Roman" w:eastAsia="Times New Roman" w:hAnsi="Times New Roman" w:cs="Times New Roman"/>
          <w:i/>
          <w:iCs/>
          <w:color w:val="464646"/>
          <w:kern w:val="36"/>
          <w:sz w:val="39"/>
          <w:szCs w:val="39"/>
        </w:rPr>
      </w:pPr>
      <w:r>
        <w:rPr>
          <w:rFonts w:ascii="Times New Roman" w:eastAsia="Times New Roman" w:hAnsi="Times New Roman" w:cs="Times New Roman"/>
          <w:i/>
          <w:iCs/>
          <w:color w:val="464646"/>
          <w:kern w:val="36"/>
          <w:sz w:val="39"/>
          <w:szCs w:val="39"/>
        </w:rPr>
        <w:t xml:space="preserve">Activities, </w:t>
      </w:r>
      <w:r w:rsidR="00B5096B" w:rsidRPr="00B5096B">
        <w:rPr>
          <w:rFonts w:ascii="Times New Roman" w:eastAsia="Times New Roman" w:hAnsi="Times New Roman" w:cs="Times New Roman"/>
          <w:i/>
          <w:iCs/>
          <w:color w:val="464646"/>
          <w:kern w:val="36"/>
          <w:sz w:val="39"/>
          <w:szCs w:val="39"/>
        </w:rPr>
        <w:t>Awards</w:t>
      </w:r>
      <w:r>
        <w:rPr>
          <w:rFonts w:ascii="Times New Roman" w:eastAsia="Times New Roman" w:hAnsi="Times New Roman" w:cs="Times New Roman"/>
          <w:i/>
          <w:iCs/>
          <w:color w:val="464646"/>
          <w:kern w:val="36"/>
          <w:sz w:val="39"/>
          <w:szCs w:val="39"/>
        </w:rPr>
        <w:t>,</w:t>
      </w:r>
      <w:r w:rsidR="00B5096B" w:rsidRPr="00B5096B">
        <w:rPr>
          <w:rFonts w:ascii="Times New Roman" w:eastAsia="Times New Roman" w:hAnsi="Times New Roman" w:cs="Times New Roman"/>
          <w:i/>
          <w:iCs/>
          <w:color w:val="464646"/>
          <w:kern w:val="36"/>
          <w:sz w:val="39"/>
          <w:szCs w:val="39"/>
        </w:rPr>
        <w:t xml:space="preserve"> &amp; Competitions</w:t>
      </w:r>
    </w:p>
    <w:p w:rsidR="00A11C23" w:rsidRDefault="00A11C23" w:rsidP="00B5096B">
      <w:pPr>
        <w:shd w:val="clear" w:color="auto" w:fill="FFFEFA"/>
        <w:spacing w:after="0" w:line="240" w:lineRule="atLeast"/>
        <w:outlineLvl w:val="1"/>
        <w:rPr>
          <w:rFonts w:ascii="Calibri" w:eastAsia="Times New Roman" w:hAnsi="Calibri" w:cs="Times New Roman"/>
          <w:b/>
          <w:bCs/>
          <w:color w:val="2E562C"/>
          <w:sz w:val="30"/>
          <w:szCs w:val="30"/>
          <w:bdr w:val="none" w:sz="0" w:space="0" w:color="auto" w:frame="1"/>
        </w:rPr>
      </w:pPr>
      <w:r>
        <w:rPr>
          <w:noProof/>
        </w:rPr>
        <w:drawing>
          <wp:inline distT="0" distB="0" distL="0" distR="0" wp14:anchorId="4B0A96D7" wp14:editId="341E531C">
            <wp:extent cx="4105275" cy="695325"/>
            <wp:effectExtent l="0" t="0" r="9525" b="9525"/>
            <wp:docPr id="8" name="Picture 8" descr="http://www.agc-nm.org/sites/default/files/AGC_N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gc-nm.org/sites/default/files/AGC_N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5275" cy="695325"/>
                    </a:xfrm>
                    <a:prstGeom prst="rect">
                      <a:avLst/>
                    </a:prstGeom>
                    <a:noFill/>
                    <a:ln>
                      <a:noFill/>
                    </a:ln>
                  </pic:spPr>
                </pic:pic>
              </a:graphicData>
            </a:graphic>
          </wp:inline>
        </w:drawing>
      </w:r>
    </w:p>
    <w:p w:rsidR="00A11C23" w:rsidRDefault="00A11C23" w:rsidP="00B5096B">
      <w:pPr>
        <w:shd w:val="clear" w:color="auto" w:fill="FFFEFA"/>
        <w:spacing w:after="0" w:line="240" w:lineRule="atLeast"/>
        <w:outlineLvl w:val="1"/>
        <w:rPr>
          <w:rFonts w:ascii="Calibri" w:eastAsia="Times New Roman" w:hAnsi="Calibri" w:cs="Times New Roman"/>
          <w:b/>
          <w:bCs/>
          <w:color w:val="2E562C"/>
          <w:sz w:val="30"/>
          <w:szCs w:val="30"/>
          <w:bdr w:val="none" w:sz="0" w:space="0" w:color="auto" w:frame="1"/>
        </w:rPr>
      </w:pPr>
    </w:p>
    <w:p w:rsidR="00B5096B" w:rsidRPr="00A11C23" w:rsidRDefault="00B5096B" w:rsidP="00B5096B">
      <w:pPr>
        <w:shd w:val="clear" w:color="auto" w:fill="FFFEFA"/>
        <w:spacing w:after="0" w:line="240" w:lineRule="atLeast"/>
        <w:outlineLvl w:val="1"/>
        <w:rPr>
          <w:rFonts w:ascii="Calibri" w:eastAsia="Times New Roman" w:hAnsi="Calibri" w:cs="Times New Roman"/>
          <w:b/>
          <w:bCs/>
          <w:color w:val="2E562C"/>
          <w:sz w:val="30"/>
          <w:szCs w:val="30"/>
        </w:rPr>
      </w:pPr>
      <w:r w:rsidRPr="00B5096B">
        <w:rPr>
          <w:rFonts w:ascii="Calibri" w:eastAsia="Times New Roman" w:hAnsi="Calibri" w:cs="Times New Roman"/>
          <w:b/>
          <w:bCs/>
          <w:color w:val="2E562C"/>
          <w:sz w:val="30"/>
          <w:szCs w:val="30"/>
        </w:rPr>
        <w:t xml:space="preserve">Application for </w:t>
      </w:r>
      <w:r w:rsidR="00A11C23" w:rsidRPr="00A11C23">
        <w:rPr>
          <w:rFonts w:ascii="Calibri" w:eastAsia="Times New Roman" w:hAnsi="Calibri" w:cs="Times New Roman"/>
          <w:b/>
          <w:bCs/>
          <w:color w:val="2E562C"/>
          <w:sz w:val="30"/>
          <w:szCs w:val="30"/>
        </w:rPr>
        <w:t>Associated General Contractors (AGC) Student Chapter</w:t>
      </w:r>
    </w:p>
    <w:p w:rsidR="00A11C23" w:rsidRPr="00A11C23" w:rsidRDefault="00A11C23" w:rsidP="00B5096B">
      <w:pPr>
        <w:shd w:val="clear" w:color="auto" w:fill="FFFEFA"/>
        <w:spacing w:after="0" w:line="240" w:lineRule="atLeast"/>
        <w:outlineLvl w:val="1"/>
        <w:rPr>
          <w:rFonts w:ascii="Times New Roman" w:eastAsia="Times New Roman" w:hAnsi="Times New Roman" w:cs="Times New Roman"/>
          <w:color w:val="252525"/>
          <w:sz w:val="23"/>
          <w:szCs w:val="23"/>
        </w:rPr>
      </w:pPr>
      <w:r w:rsidRPr="00A11C23">
        <w:rPr>
          <w:rFonts w:ascii="Times New Roman" w:eastAsia="Times New Roman" w:hAnsi="Times New Roman" w:cs="Times New Roman"/>
          <w:color w:val="252525"/>
          <w:sz w:val="23"/>
          <w:szCs w:val="23"/>
        </w:rPr>
        <w:t>The Student Chapter of AGC holds regular monthly meetings and routinely interacts with member organizations of the AGC of Central New Mexico.  The AGC supports the student chapter in preparing for the annual ASC student completion in Reno, Nevada.</w:t>
      </w:r>
    </w:p>
    <w:p w:rsidR="00A11C23" w:rsidRPr="00B5096B" w:rsidRDefault="00A11C23" w:rsidP="00B5096B">
      <w:pPr>
        <w:shd w:val="clear" w:color="auto" w:fill="FFFEFA"/>
        <w:spacing w:after="0" w:line="240" w:lineRule="atLeast"/>
        <w:outlineLvl w:val="1"/>
        <w:rPr>
          <w:rFonts w:ascii="Calibri" w:eastAsia="Times New Roman" w:hAnsi="Calibri" w:cs="Times New Roman"/>
          <w:b/>
          <w:bCs/>
          <w:color w:val="2E562C"/>
          <w:sz w:val="30"/>
          <w:szCs w:val="30"/>
          <w:bdr w:val="none" w:sz="0" w:space="0" w:color="auto" w:frame="1"/>
        </w:rPr>
      </w:pPr>
    </w:p>
    <w:p w:rsidR="00B5096B" w:rsidRPr="00B5096B" w:rsidRDefault="00811420" w:rsidP="00B5096B">
      <w:pPr>
        <w:shd w:val="clear" w:color="auto" w:fill="FFFEFA"/>
        <w:spacing w:after="0" w:line="312" w:lineRule="atLeast"/>
        <w:rPr>
          <w:rFonts w:ascii="Times New Roman" w:eastAsia="Times New Roman" w:hAnsi="Times New Roman" w:cs="Times New Roman"/>
          <w:color w:val="252525"/>
          <w:sz w:val="23"/>
          <w:szCs w:val="23"/>
        </w:rPr>
      </w:pPr>
      <w:r w:rsidRPr="00811420">
        <w:rPr>
          <w:rFonts w:ascii="Times New Roman" w:eastAsia="Times New Roman" w:hAnsi="Times New Roman" w:cs="Times New Roman"/>
          <w:color w:val="252525"/>
          <w:sz w:val="23"/>
          <w:szCs w:val="23"/>
        </w:rPr>
        <w:t>For informat</w:t>
      </w:r>
      <w:r>
        <w:rPr>
          <w:rFonts w:ascii="Times New Roman" w:eastAsia="Times New Roman" w:hAnsi="Times New Roman" w:cs="Times New Roman"/>
          <w:color w:val="252525"/>
          <w:sz w:val="23"/>
          <w:szCs w:val="23"/>
        </w:rPr>
        <w:t>ion on the chapter activities</w:t>
      </w:r>
      <w:r w:rsidRPr="00811420">
        <w:rPr>
          <w:rFonts w:ascii="Times New Roman" w:eastAsia="Times New Roman" w:hAnsi="Times New Roman" w:cs="Times New Roman"/>
          <w:color w:val="252525"/>
          <w:sz w:val="23"/>
          <w:szCs w:val="23"/>
        </w:rPr>
        <w:t xml:space="preserve">, go to </w:t>
      </w:r>
      <w:r>
        <w:rPr>
          <w:rFonts w:ascii="Times New Roman" w:eastAsia="Times New Roman" w:hAnsi="Times New Roman" w:cs="Times New Roman"/>
          <w:color w:val="252525"/>
          <w:sz w:val="23"/>
          <w:szCs w:val="23"/>
        </w:rPr>
        <w:t xml:space="preserve">the </w:t>
      </w:r>
      <w:hyperlink r:id="rId5" w:history="1">
        <w:r w:rsidRPr="00B6446E">
          <w:rPr>
            <w:rStyle w:val="Hyperlink"/>
            <w:rFonts w:ascii="Times New Roman" w:eastAsia="Times New Roman" w:hAnsi="Times New Roman" w:cs="Times New Roman"/>
            <w:sz w:val="23"/>
            <w:szCs w:val="23"/>
          </w:rPr>
          <w:t xml:space="preserve">AGC </w:t>
        </w:r>
        <w:r w:rsidR="006922D4" w:rsidRPr="00B6446E">
          <w:rPr>
            <w:rStyle w:val="Hyperlink"/>
            <w:rFonts w:ascii="Times New Roman" w:eastAsia="Times New Roman" w:hAnsi="Times New Roman" w:cs="Times New Roman"/>
            <w:sz w:val="23"/>
            <w:szCs w:val="23"/>
          </w:rPr>
          <w:t>web</w:t>
        </w:r>
      </w:hyperlink>
      <w:r w:rsidR="006922D4">
        <w:rPr>
          <w:rFonts w:ascii="Times New Roman" w:eastAsia="Times New Roman" w:hAnsi="Times New Roman" w:cs="Times New Roman"/>
          <w:color w:val="252525"/>
          <w:sz w:val="23"/>
          <w:szCs w:val="23"/>
        </w:rPr>
        <w:t xml:space="preserve"> page: </w:t>
      </w:r>
      <w:r w:rsidR="006922D4" w:rsidRPr="00B5096B">
        <w:rPr>
          <w:rFonts w:ascii="Times New Roman" w:eastAsia="Times New Roman" w:hAnsi="Times New Roman" w:cs="Times New Roman"/>
          <w:color w:val="252525"/>
          <w:sz w:val="23"/>
          <w:szCs w:val="23"/>
        </w:rPr>
        <w:t xml:space="preserve"> </w:t>
      </w:r>
    </w:p>
    <w:p w:rsidR="00B5096B" w:rsidRPr="00B5096B" w:rsidRDefault="00B5096B" w:rsidP="00B5096B">
      <w:pPr>
        <w:shd w:val="clear" w:color="auto" w:fill="FFFEFA"/>
        <w:spacing w:before="75" w:after="30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  </w:t>
      </w:r>
    </w:p>
    <w:p w:rsidR="00B5096B" w:rsidRPr="00B5096B" w:rsidRDefault="00B5096B" w:rsidP="00B5096B">
      <w:pPr>
        <w:shd w:val="clear" w:color="auto" w:fill="FFFEFA"/>
        <w:spacing w:before="300" w:after="75" w:line="240" w:lineRule="atLeast"/>
        <w:outlineLvl w:val="1"/>
        <w:rPr>
          <w:rFonts w:ascii="Calibri" w:eastAsia="Times New Roman" w:hAnsi="Calibri" w:cs="Times New Roman"/>
          <w:b/>
          <w:bCs/>
          <w:color w:val="2E562C"/>
          <w:sz w:val="30"/>
          <w:szCs w:val="30"/>
        </w:rPr>
      </w:pPr>
      <w:r w:rsidRPr="00B5096B">
        <w:rPr>
          <w:rFonts w:ascii="Calibri" w:eastAsia="Times New Roman" w:hAnsi="Calibri" w:cs="Times New Roman"/>
          <w:b/>
          <w:bCs/>
          <w:noProof/>
          <w:color w:val="2E562C"/>
          <w:sz w:val="30"/>
          <w:szCs w:val="30"/>
        </w:rPr>
        <w:drawing>
          <wp:inline distT="0" distB="0" distL="0" distR="0" wp14:anchorId="0F75FC88" wp14:editId="3C659DE3">
            <wp:extent cx="1666875" cy="981075"/>
            <wp:effectExtent l="0" t="0" r="9525" b="9525"/>
            <wp:docPr id="2" name="Picture 2" descr="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81075"/>
                    </a:xfrm>
                    <a:prstGeom prst="rect">
                      <a:avLst/>
                    </a:prstGeom>
                    <a:noFill/>
                    <a:ln>
                      <a:noFill/>
                    </a:ln>
                  </pic:spPr>
                </pic:pic>
              </a:graphicData>
            </a:graphic>
          </wp:inline>
        </w:drawing>
      </w:r>
      <w:r w:rsidRPr="00B5096B">
        <w:rPr>
          <w:rFonts w:ascii="Calibri" w:eastAsia="Times New Roman" w:hAnsi="Calibri" w:cs="Times New Roman"/>
          <w:b/>
          <w:bCs/>
          <w:color w:val="2E562C"/>
          <w:sz w:val="30"/>
          <w:szCs w:val="30"/>
        </w:rPr>
        <w:t>Associated Schools of Construction (ASC) National and Regional Student Competitions</w:t>
      </w:r>
    </w:p>
    <w:p w:rsidR="00B5096B" w:rsidRPr="00B5096B" w:rsidRDefault="00B5096B" w:rsidP="00B5096B">
      <w:pPr>
        <w:shd w:val="clear" w:color="auto" w:fill="FFFEFA"/>
        <w:spacing w:before="75" w:after="30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The Associated Schools of Construction (ASC) supports both National and Regional Student Competitions. Each year regional competitions are held in various locations across the United States. Teams can compete in one of 12 categories which focus on different aspects of the industry. Award criteria includes estimating, bidding, planning, scheduling, presentation skills, creativity, understanding of sound construction techniques and thoughtful methodologies.</w:t>
      </w:r>
    </w:p>
    <w:p w:rsidR="00B5096B" w:rsidRPr="00B5096B" w:rsidRDefault="00B5096B" w:rsidP="00B5096B">
      <w:pPr>
        <w:shd w:val="clear" w:color="auto" w:fill="FFFEFA"/>
        <w:spacing w:after="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For information on the upcoming competitions, go to </w:t>
      </w:r>
      <w:hyperlink r:id="rId7" w:history="1">
        <w:r w:rsidRPr="00072A74">
          <w:rPr>
            <w:rStyle w:val="Hyperlink"/>
            <w:rFonts w:ascii="inherit" w:eastAsia="Times New Roman" w:hAnsi="inherit" w:cs="Times New Roman"/>
            <w:sz w:val="23"/>
            <w:szCs w:val="23"/>
            <w:bdr w:val="none" w:sz="0" w:space="0" w:color="auto" w:frame="1"/>
          </w:rPr>
          <w:t>ASC</w:t>
        </w:r>
      </w:hyperlink>
      <w:r w:rsidRPr="00B5096B">
        <w:rPr>
          <w:rFonts w:ascii="inherit" w:eastAsia="Times New Roman" w:hAnsi="inherit" w:cs="Times New Roman"/>
          <w:color w:val="6F6345"/>
          <w:sz w:val="23"/>
          <w:szCs w:val="23"/>
          <w:u w:val="single"/>
          <w:bdr w:val="none" w:sz="0" w:space="0" w:color="auto" w:frame="1"/>
        </w:rPr>
        <w:t xml:space="preserve"> </w:t>
      </w:r>
      <w:r w:rsidRPr="00B5096B">
        <w:rPr>
          <w:rFonts w:ascii="Times New Roman" w:eastAsia="Times New Roman" w:hAnsi="Times New Roman" w:cs="Times New Roman"/>
          <w:color w:val="252525"/>
          <w:sz w:val="23"/>
          <w:szCs w:val="23"/>
        </w:rPr>
        <w:t>web page.</w:t>
      </w:r>
    </w:p>
    <w:p w:rsidR="00B5096B" w:rsidRPr="00B5096B" w:rsidRDefault="00B5096B" w:rsidP="00B5096B">
      <w:pPr>
        <w:shd w:val="clear" w:color="auto" w:fill="FFFEFA"/>
        <w:spacing w:before="75" w:after="30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 </w:t>
      </w:r>
    </w:p>
    <w:p w:rsidR="00B5096B" w:rsidRPr="00B5096B" w:rsidRDefault="00B5096B" w:rsidP="00B5096B">
      <w:pPr>
        <w:shd w:val="clear" w:color="auto" w:fill="FFFEFA"/>
        <w:spacing w:before="300" w:after="75" w:line="240" w:lineRule="atLeast"/>
        <w:outlineLvl w:val="1"/>
        <w:rPr>
          <w:rFonts w:ascii="Calibri" w:eastAsia="Times New Roman" w:hAnsi="Calibri" w:cs="Times New Roman"/>
          <w:b/>
          <w:bCs/>
          <w:color w:val="2E562C"/>
          <w:sz w:val="30"/>
          <w:szCs w:val="30"/>
        </w:rPr>
      </w:pPr>
      <w:r w:rsidRPr="00B5096B">
        <w:rPr>
          <w:rFonts w:ascii="Calibri" w:eastAsia="Times New Roman" w:hAnsi="Calibri" w:cs="Times New Roman"/>
          <w:b/>
          <w:bCs/>
          <w:noProof/>
          <w:color w:val="2E562C"/>
          <w:sz w:val="30"/>
          <w:szCs w:val="30"/>
        </w:rPr>
        <w:drawing>
          <wp:inline distT="0" distB="0" distL="0" distR="0" wp14:anchorId="183367E8" wp14:editId="0725EE73">
            <wp:extent cx="1666875" cy="1362075"/>
            <wp:effectExtent l="0" t="0" r="9525" b="9525"/>
            <wp:docPr id="4" name="Picture 4" descr="NA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H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362075"/>
                    </a:xfrm>
                    <a:prstGeom prst="rect">
                      <a:avLst/>
                    </a:prstGeom>
                    <a:noFill/>
                    <a:ln>
                      <a:noFill/>
                    </a:ln>
                  </pic:spPr>
                </pic:pic>
              </a:graphicData>
            </a:graphic>
          </wp:inline>
        </w:drawing>
      </w:r>
      <w:r w:rsidRPr="00B5096B">
        <w:rPr>
          <w:rFonts w:ascii="Calibri" w:eastAsia="Times New Roman" w:hAnsi="Calibri" w:cs="Times New Roman"/>
          <w:b/>
          <w:bCs/>
          <w:color w:val="2E562C"/>
          <w:sz w:val="30"/>
          <w:szCs w:val="30"/>
        </w:rPr>
        <w:t>National Association of Homebuilders (NAHB)</w:t>
      </w:r>
    </w:p>
    <w:p w:rsidR="00B5096B" w:rsidRPr="00B5096B" w:rsidRDefault="00B5096B" w:rsidP="00B5096B">
      <w:pPr>
        <w:shd w:val="clear" w:color="auto" w:fill="FFFEFA"/>
        <w:spacing w:before="75" w:after="30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lastRenderedPageBreak/>
        <w:t>The NAHB Student Competition is a residential construction management competition following all aspects of a residential construction project from start to finish. This includes marketing research, estimating, construction planning, scheduling, value engineering and green building strategies, and financial analysis, etc. The competition problem, released in early October, usually focuses on the construction of a multi-family or single family housing development. Our deliverable is a packet to be submitted in early January, limited to 150 pages and containing all work performed during fall quarter.</w:t>
      </w:r>
    </w:p>
    <w:p w:rsidR="00B5096B" w:rsidRPr="00B5096B" w:rsidRDefault="00B5096B" w:rsidP="00B5096B">
      <w:pPr>
        <w:shd w:val="clear" w:color="auto" w:fill="FFFEFA"/>
        <w:spacing w:after="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For information on the upcoming competitions, go to </w:t>
      </w:r>
      <w:hyperlink r:id="rId9" w:history="1">
        <w:r w:rsidRPr="00072A74">
          <w:rPr>
            <w:rStyle w:val="Hyperlink"/>
            <w:rFonts w:ascii="inherit" w:eastAsia="Times New Roman" w:hAnsi="inherit" w:cs="Times New Roman"/>
            <w:sz w:val="23"/>
            <w:szCs w:val="23"/>
            <w:bdr w:val="none" w:sz="0" w:space="0" w:color="auto" w:frame="1"/>
          </w:rPr>
          <w:t>NA</w:t>
        </w:r>
        <w:r w:rsidRPr="00072A74">
          <w:rPr>
            <w:rStyle w:val="Hyperlink"/>
            <w:rFonts w:ascii="inherit" w:eastAsia="Times New Roman" w:hAnsi="inherit" w:cs="Times New Roman"/>
            <w:sz w:val="23"/>
            <w:szCs w:val="23"/>
            <w:bdr w:val="none" w:sz="0" w:space="0" w:color="auto" w:frame="1"/>
          </w:rPr>
          <w:t>H</w:t>
        </w:r>
        <w:r w:rsidRPr="00072A74">
          <w:rPr>
            <w:rStyle w:val="Hyperlink"/>
            <w:rFonts w:ascii="inherit" w:eastAsia="Times New Roman" w:hAnsi="inherit" w:cs="Times New Roman"/>
            <w:sz w:val="23"/>
            <w:szCs w:val="23"/>
            <w:bdr w:val="none" w:sz="0" w:space="0" w:color="auto" w:frame="1"/>
          </w:rPr>
          <w:t>B</w:t>
        </w:r>
      </w:hyperlink>
      <w:bookmarkStart w:id="0" w:name="_GoBack"/>
      <w:bookmarkEnd w:id="0"/>
      <w:r w:rsidRPr="00B5096B">
        <w:rPr>
          <w:rFonts w:ascii="inherit" w:eastAsia="Times New Roman" w:hAnsi="inherit" w:cs="Times New Roman"/>
          <w:color w:val="6F6345"/>
          <w:sz w:val="23"/>
          <w:szCs w:val="23"/>
          <w:u w:val="single"/>
          <w:bdr w:val="none" w:sz="0" w:space="0" w:color="auto" w:frame="1"/>
        </w:rPr>
        <w:t xml:space="preserve"> </w:t>
      </w:r>
      <w:r w:rsidR="006922D4">
        <w:rPr>
          <w:rFonts w:ascii="Times New Roman" w:eastAsia="Times New Roman" w:hAnsi="Times New Roman" w:cs="Times New Roman"/>
          <w:color w:val="252525"/>
          <w:sz w:val="23"/>
          <w:szCs w:val="23"/>
        </w:rPr>
        <w:t>w</w:t>
      </w:r>
      <w:r w:rsidRPr="00B5096B">
        <w:rPr>
          <w:rFonts w:ascii="Times New Roman" w:eastAsia="Times New Roman" w:hAnsi="Times New Roman" w:cs="Times New Roman"/>
          <w:color w:val="252525"/>
          <w:sz w:val="23"/>
          <w:szCs w:val="23"/>
        </w:rPr>
        <w:t>eb page.</w:t>
      </w:r>
    </w:p>
    <w:p w:rsidR="00B5096B" w:rsidRPr="00B5096B" w:rsidRDefault="00B5096B" w:rsidP="00B5096B">
      <w:pPr>
        <w:shd w:val="clear" w:color="auto" w:fill="FFFEFA"/>
        <w:spacing w:before="75" w:after="30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 </w:t>
      </w:r>
    </w:p>
    <w:p w:rsidR="00B5096B" w:rsidRPr="00B5096B" w:rsidRDefault="00B5096B" w:rsidP="00B5096B">
      <w:pPr>
        <w:shd w:val="clear" w:color="auto" w:fill="FFFEFA"/>
        <w:spacing w:before="300" w:after="75" w:line="240" w:lineRule="atLeast"/>
        <w:outlineLvl w:val="1"/>
        <w:rPr>
          <w:rFonts w:ascii="Calibri" w:eastAsia="Times New Roman" w:hAnsi="Calibri" w:cs="Times New Roman"/>
          <w:b/>
          <w:bCs/>
          <w:color w:val="2E562C"/>
          <w:sz w:val="30"/>
          <w:szCs w:val="30"/>
        </w:rPr>
      </w:pPr>
      <w:r w:rsidRPr="00B5096B">
        <w:rPr>
          <w:rFonts w:ascii="Calibri" w:eastAsia="Times New Roman" w:hAnsi="Calibri" w:cs="Times New Roman"/>
          <w:b/>
          <w:bCs/>
          <w:noProof/>
          <w:color w:val="2E562C"/>
          <w:sz w:val="30"/>
          <w:szCs w:val="30"/>
        </w:rPr>
        <w:drawing>
          <wp:inline distT="0" distB="0" distL="0" distR="0" wp14:anchorId="7EB67818" wp14:editId="392A2B87">
            <wp:extent cx="1666875" cy="1666875"/>
            <wp:effectExtent l="0" t="0" r="9525" b="9525"/>
            <wp:docPr id="7" name="Picture 7" descr="E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B5096B">
        <w:rPr>
          <w:rFonts w:ascii="Calibri" w:eastAsia="Times New Roman" w:hAnsi="Calibri" w:cs="Times New Roman"/>
          <w:b/>
          <w:bCs/>
          <w:color w:val="2E562C"/>
          <w:sz w:val="30"/>
          <w:szCs w:val="30"/>
        </w:rPr>
        <w:t>Emerging Green Professionals (EGP)</w:t>
      </w:r>
    </w:p>
    <w:p w:rsidR="00B5096B" w:rsidRPr="00B5096B" w:rsidRDefault="00B5096B" w:rsidP="00B5096B">
      <w:pPr>
        <w:shd w:val="clear" w:color="auto" w:fill="FFFEFA"/>
        <w:spacing w:before="75" w:after="30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USGBC Emerging Professionals are the energetic and dynamic leaders of tomorrow’s green building movement. The program is geared toward individuals out of school and under 30, but does not exclude anyone who may be interested. USGBC Emerging Professionals seek to engage all those who are interested in learning about and advocating for sustainable building practices. So who are Emerging Professionals? Certainly many are young architects and engineers, but they also include young lawyers, education and healthcare professionals, sustainability consultants, and anyone else interested in the future of green building.</w:t>
      </w:r>
    </w:p>
    <w:p w:rsidR="00B5096B" w:rsidRPr="00B5096B" w:rsidRDefault="00B5096B" w:rsidP="00A11C23">
      <w:pPr>
        <w:shd w:val="clear" w:color="auto" w:fill="FFFEFA"/>
        <w:spacing w:after="0" w:line="312" w:lineRule="atLeast"/>
        <w:rPr>
          <w:rFonts w:ascii="Times New Roman" w:eastAsia="Times New Roman" w:hAnsi="Times New Roman" w:cs="Times New Roman"/>
          <w:color w:val="252525"/>
          <w:sz w:val="23"/>
          <w:szCs w:val="23"/>
        </w:rPr>
      </w:pPr>
      <w:r w:rsidRPr="00B5096B">
        <w:rPr>
          <w:rFonts w:ascii="Times New Roman" w:eastAsia="Times New Roman" w:hAnsi="Times New Roman" w:cs="Times New Roman"/>
          <w:color w:val="252525"/>
          <w:sz w:val="23"/>
          <w:szCs w:val="23"/>
        </w:rPr>
        <w:t>For information on the upcoming</w:t>
      </w:r>
      <w:r w:rsidR="006922D4">
        <w:rPr>
          <w:rFonts w:ascii="Times New Roman" w:eastAsia="Times New Roman" w:hAnsi="Times New Roman" w:cs="Times New Roman"/>
          <w:color w:val="252525"/>
          <w:sz w:val="23"/>
          <w:szCs w:val="23"/>
        </w:rPr>
        <w:t xml:space="preserve"> activities, go to </w:t>
      </w:r>
      <w:hyperlink r:id="rId11" w:history="1">
        <w:r w:rsidRPr="00072A74">
          <w:rPr>
            <w:rStyle w:val="Hyperlink"/>
            <w:rFonts w:ascii="inherit" w:eastAsia="Times New Roman" w:hAnsi="inherit" w:cs="Times New Roman"/>
            <w:sz w:val="23"/>
            <w:szCs w:val="23"/>
            <w:bdr w:val="none" w:sz="0" w:space="0" w:color="auto" w:frame="1"/>
          </w:rPr>
          <w:t>EGP</w:t>
        </w:r>
      </w:hyperlink>
      <w:r w:rsidRPr="00B5096B">
        <w:rPr>
          <w:rFonts w:ascii="Times New Roman" w:eastAsia="Times New Roman" w:hAnsi="Times New Roman" w:cs="Times New Roman"/>
          <w:color w:val="252525"/>
          <w:sz w:val="23"/>
          <w:szCs w:val="23"/>
        </w:rPr>
        <w:t> </w:t>
      </w:r>
      <w:r w:rsidR="00A11C23">
        <w:rPr>
          <w:rFonts w:ascii="Times New Roman" w:eastAsia="Times New Roman" w:hAnsi="Times New Roman" w:cs="Times New Roman"/>
          <w:color w:val="252525"/>
          <w:sz w:val="23"/>
          <w:szCs w:val="23"/>
        </w:rPr>
        <w:t>web page</w:t>
      </w:r>
    </w:p>
    <w:sectPr w:rsidR="00B5096B" w:rsidRPr="00B5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6B"/>
    <w:rsid w:val="00072A74"/>
    <w:rsid w:val="00172098"/>
    <w:rsid w:val="00644DF9"/>
    <w:rsid w:val="006922D4"/>
    <w:rsid w:val="007D1906"/>
    <w:rsid w:val="00811420"/>
    <w:rsid w:val="00A11C23"/>
    <w:rsid w:val="00B5096B"/>
    <w:rsid w:val="00B6446E"/>
    <w:rsid w:val="00C06EC3"/>
    <w:rsid w:val="00FE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D6BAD-2789-4D88-9A43-58E3D5DE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6B"/>
    <w:rPr>
      <w:rFonts w:ascii="Tahoma" w:hAnsi="Tahoma" w:cs="Tahoma"/>
      <w:sz w:val="16"/>
      <w:szCs w:val="16"/>
    </w:rPr>
  </w:style>
  <w:style w:type="character" w:styleId="Hyperlink">
    <w:name w:val="Hyperlink"/>
    <w:basedOn w:val="DefaultParagraphFont"/>
    <w:uiPriority w:val="99"/>
    <w:unhideWhenUsed/>
    <w:rsid w:val="00B6446E"/>
    <w:rPr>
      <w:color w:val="0000FF" w:themeColor="hyperlink"/>
      <w:u w:val="single"/>
    </w:rPr>
  </w:style>
  <w:style w:type="character" w:styleId="FollowedHyperlink">
    <w:name w:val="FollowedHyperlink"/>
    <w:basedOn w:val="DefaultParagraphFont"/>
    <w:uiPriority w:val="99"/>
    <w:semiHidden/>
    <w:unhideWhenUsed/>
    <w:rsid w:val="00172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39820">
      <w:bodyDiv w:val="1"/>
      <w:marLeft w:val="0"/>
      <w:marRight w:val="0"/>
      <w:marTop w:val="0"/>
      <w:marBottom w:val="0"/>
      <w:divBdr>
        <w:top w:val="none" w:sz="0" w:space="0" w:color="auto"/>
        <w:left w:val="none" w:sz="0" w:space="0" w:color="auto"/>
        <w:bottom w:val="none" w:sz="0" w:space="0" w:color="auto"/>
        <w:right w:val="none" w:sz="0" w:space="0" w:color="auto"/>
      </w:divBdr>
      <w:divsChild>
        <w:div w:id="121262120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c67.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sgbc.org/emergingprofessionals" TargetMode="External"/><Relationship Id="rId5" Type="http://schemas.openxmlformats.org/officeDocument/2006/relationships/hyperlink" Target="https://www.facebook.com/AGCUNM"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na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Daniel Russell</dc:creator>
  <cp:lastModifiedBy>Josephine Gibson</cp:lastModifiedBy>
  <cp:revision>2</cp:revision>
  <dcterms:created xsi:type="dcterms:W3CDTF">2016-02-25T19:45:00Z</dcterms:created>
  <dcterms:modified xsi:type="dcterms:W3CDTF">2016-02-25T19:45:00Z</dcterms:modified>
</cp:coreProperties>
</file>